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C800B" w14:textId="77777777" w:rsidR="00AC301B" w:rsidRDefault="00970C35">
      <w:pPr>
        <w:pStyle w:val="1"/>
        <w:kinsoku w:val="0"/>
        <w:autoSpaceDE w:val="0"/>
        <w:autoSpaceDN w:val="0"/>
        <w:adjustRightInd w:val="0"/>
        <w:snapToGrid w:val="0"/>
        <w:spacing w:before="0" w:after="0" w:line="360" w:lineRule="auto"/>
        <w:jc w:val="center"/>
        <w:textAlignment w:val="baseline"/>
        <w:rPr>
          <w:rFonts w:ascii="黑体" w:eastAsia="黑体" w:hAnsi="黑体" w:cs="黑体"/>
          <w:snapToGrid w:val="0"/>
          <w:color w:val="000000"/>
          <w:sz w:val="36"/>
          <w:szCs w:val="36"/>
        </w:rPr>
      </w:pPr>
      <w:r>
        <w:rPr>
          <w:rFonts w:ascii="黑体" w:eastAsia="黑体" w:hAnsi="黑体" w:cs="黑体" w:hint="eastAsia"/>
          <w:snapToGrid w:val="0"/>
          <w:color w:val="000000"/>
          <w:sz w:val="36"/>
          <w:szCs w:val="36"/>
        </w:rPr>
        <w:t>山西安泰集团股份有限公司</w:t>
      </w:r>
    </w:p>
    <w:p w14:paraId="30277AB9" w14:textId="77777777" w:rsidR="00AC301B" w:rsidRDefault="00970C35">
      <w:pPr>
        <w:pStyle w:val="1"/>
        <w:kinsoku w:val="0"/>
        <w:autoSpaceDE w:val="0"/>
        <w:autoSpaceDN w:val="0"/>
        <w:adjustRightInd w:val="0"/>
        <w:snapToGrid w:val="0"/>
        <w:spacing w:before="0" w:after="0" w:line="360" w:lineRule="auto"/>
        <w:jc w:val="center"/>
        <w:textAlignment w:val="baseline"/>
        <w:rPr>
          <w:rFonts w:ascii="黑体" w:eastAsia="黑体" w:hAnsi="黑体" w:cs="黑体"/>
          <w:sz w:val="36"/>
          <w:szCs w:val="36"/>
        </w:rPr>
      </w:pPr>
      <w:r>
        <w:rPr>
          <w:rFonts w:ascii="黑体" w:eastAsia="黑体" w:hAnsi="黑体" w:cs="黑体" w:hint="eastAsia"/>
          <w:snapToGrid w:val="0"/>
          <w:color w:val="000000"/>
          <w:sz w:val="36"/>
          <w:szCs w:val="36"/>
        </w:rPr>
        <w:t>内部控制管理制度</w:t>
      </w:r>
      <w:bookmarkStart w:id="0" w:name="_Toc338841709"/>
    </w:p>
    <w:p w14:paraId="016693FD" w14:textId="77777777" w:rsidR="00AC301B" w:rsidRDefault="00970C35" w:rsidP="002D5A58">
      <w:pPr>
        <w:pStyle w:val="1"/>
        <w:kinsoku w:val="0"/>
        <w:autoSpaceDE w:val="0"/>
        <w:autoSpaceDN w:val="0"/>
        <w:adjustRightInd w:val="0"/>
        <w:snapToGrid w:val="0"/>
        <w:spacing w:beforeLines="50" w:before="156" w:afterLines="50" w:after="156" w:line="360" w:lineRule="auto"/>
        <w:jc w:val="center"/>
        <w:textAlignment w:val="baseline"/>
        <w:rPr>
          <w:rFonts w:asciiTheme="majorEastAsia" w:eastAsiaTheme="majorEastAsia" w:hAnsiTheme="majorEastAsia" w:cstheme="majorEastAsia"/>
          <w:snapToGrid w:val="0"/>
          <w:color w:val="000000"/>
          <w:sz w:val="30"/>
          <w:szCs w:val="30"/>
          <w:lang w:bidi="en-US"/>
        </w:rPr>
      </w:pPr>
      <w:r>
        <w:rPr>
          <w:rFonts w:asciiTheme="majorEastAsia" w:eastAsiaTheme="majorEastAsia" w:hAnsiTheme="majorEastAsia" w:cstheme="majorEastAsia" w:hint="eastAsia"/>
          <w:snapToGrid w:val="0"/>
          <w:color w:val="000000"/>
          <w:sz w:val="30"/>
          <w:szCs w:val="30"/>
          <w:lang w:bidi="en-US"/>
        </w:rPr>
        <w:t>第一章  总则</w:t>
      </w:r>
      <w:bookmarkEnd w:id="0"/>
    </w:p>
    <w:p w14:paraId="5AAC4773" w14:textId="79505604" w:rsidR="00AC301B" w:rsidRDefault="00970C35">
      <w:pPr>
        <w:spacing w:line="360" w:lineRule="auto"/>
        <w:ind w:firstLineChars="200" w:firstLine="482"/>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b/>
          <w:kern w:val="0"/>
          <w:sz w:val="24"/>
          <w:lang w:bidi="en-US"/>
        </w:rPr>
        <w:t>第一条</w:t>
      </w:r>
      <w:r>
        <w:rPr>
          <w:rFonts w:asciiTheme="minorEastAsia" w:eastAsiaTheme="minorEastAsia" w:hAnsiTheme="minorEastAsia" w:cstheme="minorEastAsia" w:hint="eastAsia"/>
          <w:kern w:val="0"/>
          <w:sz w:val="24"/>
          <w:lang w:bidi="en-US"/>
        </w:rPr>
        <w:t xml:space="preserve"> </w:t>
      </w:r>
      <w:r>
        <w:rPr>
          <w:rFonts w:asciiTheme="minorEastAsia" w:eastAsiaTheme="minorEastAsia" w:hAnsiTheme="minorEastAsia" w:cstheme="minorEastAsia" w:hint="eastAsia"/>
          <w:bCs/>
          <w:kern w:val="0"/>
          <w:sz w:val="24"/>
          <w:lang w:bidi="en-US"/>
        </w:rPr>
        <w:t>为进一步加强山西安泰集团股份有限公司（以下简称“公司”）的内部控制，促进公司规范运作和健康发展，保护股东合法权益，根据《中华人民共和国公司法》《中华人民共和国证券法》《企业内部控制基本规范》《企业内部控制配套指引》《上海证券交易所股票上市规则》《上海证券交易所上市公司自律监管指引第1号——规范运作》等相关法律法规，以及《公司章程》的相关规定，结合公司自身经营环境，特制定本制度。</w:t>
      </w:r>
    </w:p>
    <w:p w14:paraId="47980021"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第二条 </w:t>
      </w:r>
      <w:r>
        <w:rPr>
          <w:rFonts w:asciiTheme="minorEastAsia" w:eastAsiaTheme="minorEastAsia" w:hAnsiTheme="minorEastAsia" w:cstheme="minorEastAsia" w:hint="eastAsia"/>
          <w:bCs/>
          <w:kern w:val="0"/>
          <w:sz w:val="24"/>
          <w:lang w:bidi="en-US"/>
        </w:rPr>
        <w:t>本制度所称内部控制是指由公司董事会、管理层以及全体员工实施的、旨在实现控制目标的过程，</w:t>
      </w:r>
      <w:r>
        <w:rPr>
          <w:rFonts w:ascii="宋体" w:hAnsi="宋体" w:hint="eastAsia"/>
          <w:bCs/>
          <w:kern w:val="0"/>
          <w:sz w:val="24"/>
          <w:lang w:bidi="en-US"/>
        </w:rPr>
        <w:t>适用于公司各部门、分公司、控股子公司及相关人员。</w:t>
      </w:r>
    </w:p>
    <w:p w14:paraId="163FAF46"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第三条 </w:t>
      </w:r>
      <w:r>
        <w:rPr>
          <w:rFonts w:asciiTheme="minorEastAsia" w:eastAsiaTheme="minorEastAsia" w:hAnsiTheme="minorEastAsia" w:cstheme="minorEastAsia" w:hint="eastAsia"/>
          <w:bCs/>
          <w:kern w:val="0"/>
          <w:sz w:val="24"/>
          <w:lang w:bidi="en-US"/>
        </w:rPr>
        <w:t>内部控制的目标是合理保证公司经营管理合法合规、资产安全、财务报告及相关信息真实完整，提高公司经营效率和效果、促进公司实现发展战略。</w:t>
      </w:r>
    </w:p>
    <w:p w14:paraId="5F0C485F" w14:textId="77777777" w:rsidR="00AC301B" w:rsidRDefault="00970C35">
      <w:pPr>
        <w:spacing w:line="360" w:lineRule="auto"/>
        <w:ind w:firstLineChars="200" w:firstLine="482"/>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b/>
          <w:kern w:val="0"/>
          <w:sz w:val="24"/>
          <w:lang w:bidi="en-US"/>
        </w:rPr>
        <w:t xml:space="preserve">第四条 </w:t>
      </w:r>
      <w:r>
        <w:rPr>
          <w:rFonts w:asciiTheme="minorEastAsia" w:eastAsiaTheme="minorEastAsia" w:hAnsiTheme="minorEastAsia" w:cstheme="minorEastAsia" w:hint="eastAsia"/>
          <w:kern w:val="0"/>
          <w:sz w:val="24"/>
          <w:lang w:bidi="en-US"/>
        </w:rPr>
        <w:t>公司建立与实施内部控制，应当遵循下列原则：</w:t>
      </w:r>
    </w:p>
    <w:p w14:paraId="75414265" w14:textId="77777777" w:rsidR="00AC301B" w:rsidRDefault="00970C35">
      <w:pPr>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（一）全面性原则。内部控制应当贯穿决策、执行和监督全过程，覆盖企业及其所属单位的各种业务和事项。</w:t>
      </w:r>
    </w:p>
    <w:p w14:paraId="639D0D62" w14:textId="77777777" w:rsidR="00AC301B" w:rsidRDefault="00970C35">
      <w:pPr>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（二）重要性原则。内部控制应当在全面控制的基础上，关注重要业务事项和高风险领域。</w:t>
      </w:r>
    </w:p>
    <w:p w14:paraId="1B1749A3" w14:textId="77777777" w:rsidR="00AC301B" w:rsidRDefault="00970C35">
      <w:pPr>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（三）制衡性原则。内部控制应当在治理结构、机构设置及权责分配、业务流程等方面形成相互制约、相互监督，同时兼顾运营效率。</w:t>
      </w:r>
    </w:p>
    <w:p w14:paraId="6770AE4E" w14:textId="77777777" w:rsidR="00AC301B" w:rsidRDefault="00970C35">
      <w:pPr>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（四）适应性原则。内部控制应当与企业经营规模、业务范围、竞争状况和风险水平等相适应，并随着情况的变化及时加以调整。</w:t>
      </w:r>
    </w:p>
    <w:p w14:paraId="3A2F9F2C" w14:textId="77777777" w:rsidR="00AC301B" w:rsidRDefault="00970C35">
      <w:pPr>
        <w:spacing w:line="360" w:lineRule="auto"/>
        <w:ind w:firstLineChars="200" w:firstLine="480"/>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kern w:val="0"/>
          <w:sz w:val="24"/>
          <w:lang w:bidi="en-US"/>
        </w:rPr>
        <w:t>（五）成本效益原则。内部控制应当权衡实施成本与预期效益，以适当的成本实现有效控制。</w:t>
      </w:r>
    </w:p>
    <w:p w14:paraId="64E6FC88"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第五条 </w:t>
      </w:r>
      <w:r>
        <w:rPr>
          <w:rFonts w:asciiTheme="minorEastAsia" w:eastAsiaTheme="minorEastAsia" w:hAnsiTheme="minorEastAsia" w:cstheme="minorEastAsia" w:hint="eastAsia"/>
          <w:bCs/>
          <w:kern w:val="0"/>
          <w:sz w:val="24"/>
          <w:lang w:bidi="en-US"/>
        </w:rPr>
        <w:t>董事会负责内部控制制度的制定、实施和完善，并定期对内部控制执行情况进行全面检查和效果评估。</w:t>
      </w:r>
    </w:p>
    <w:p w14:paraId="7BC54620" w14:textId="77777777" w:rsidR="00AC301B" w:rsidRDefault="00970C35" w:rsidP="005C0153">
      <w:pPr>
        <w:spacing w:line="360" w:lineRule="auto"/>
        <w:ind w:firstLineChars="200" w:firstLine="480"/>
        <w:rPr>
          <w:rFonts w:asciiTheme="minorEastAsia" w:eastAsiaTheme="minorEastAsia" w:hAnsiTheme="minorEastAsia" w:cstheme="minorEastAsia"/>
          <w:b/>
          <w:kern w:val="0"/>
          <w:sz w:val="24"/>
          <w:lang w:bidi="en-US"/>
        </w:rPr>
      </w:pPr>
      <w:r w:rsidRPr="005C0153">
        <w:rPr>
          <w:rFonts w:asciiTheme="minorEastAsia" w:eastAsiaTheme="minorEastAsia" w:hAnsiTheme="minorEastAsia" w:cstheme="minorEastAsia" w:hint="eastAsia"/>
          <w:kern w:val="0"/>
          <w:sz w:val="24"/>
          <w:lang w:bidi="en-US"/>
        </w:rPr>
        <w:t>董事会审计委员会</w:t>
      </w:r>
      <w:r>
        <w:rPr>
          <w:rFonts w:asciiTheme="minorEastAsia" w:eastAsiaTheme="minorEastAsia" w:hAnsiTheme="minorEastAsia" w:cstheme="minorEastAsia" w:hint="eastAsia"/>
          <w:bCs/>
          <w:kern w:val="0"/>
          <w:sz w:val="24"/>
          <w:lang w:bidi="en-US"/>
        </w:rPr>
        <w:t>负责监督公司内部控制制度的建立和执行，对发现的重大</w:t>
      </w:r>
      <w:r>
        <w:rPr>
          <w:rFonts w:asciiTheme="minorEastAsia" w:eastAsiaTheme="minorEastAsia" w:hAnsiTheme="minorEastAsia" w:cstheme="minorEastAsia" w:hint="eastAsia"/>
          <w:bCs/>
          <w:kern w:val="0"/>
          <w:sz w:val="24"/>
          <w:lang w:bidi="en-US"/>
        </w:rPr>
        <w:lastRenderedPageBreak/>
        <w:t>内部控制执行情况进行全面检查和效果评估。</w:t>
      </w:r>
    </w:p>
    <w:p w14:paraId="6E2760F8"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第六条</w:t>
      </w:r>
      <w:r>
        <w:rPr>
          <w:rFonts w:asciiTheme="minorEastAsia" w:eastAsiaTheme="minorEastAsia" w:hAnsiTheme="minorEastAsia" w:cstheme="minorEastAsia" w:hint="eastAsia"/>
          <w:bCs/>
          <w:kern w:val="0"/>
          <w:sz w:val="24"/>
          <w:lang w:bidi="en-US"/>
        </w:rPr>
        <w:t xml:space="preserve"> 管理层负责内部控制体系相关制度的建议和完善，全面推进内部控制制度的执行。</w:t>
      </w:r>
    </w:p>
    <w:p w14:paraId="2D067B92"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第七条 </w:t>
      </w:r>
      <w:r>
        <w:rPr>
          <w:rFonts w:asciiTheme="minorEastAsia" w:eastAsiaTheme="minorEastAsia" w:hAnsiTheme="minorEastAsia" w:cstheme="minorEastAsia" w:hint="eastAsia"/>
          <w:bCs/>
          <w:kern w:val="0"/>
          <w:sz w:val="24"/>
          <w:lang w:bidi="en-US"/>
        </w:rPr>
        <w:t>内部审计部门负责内部控制的日常监督，负责内部控制自我评价的现场审计业务，并向董事会提交内部控制工作报告。</w:t>
      </w:r>
    </w:p>
    <w:p w14:paraId="09146BAB" w14:textId="4DCBDD36"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第八条 </w:t>
      </w:r>
      <w:r>
        <w:rPr>
          <w:rFonts w:asciiTheme="minorEastAsia" w:eastAsiaTheme="minorEastAsia" w:hAnsiTheme="minorEastAsia" w:cstheme="minorEastAsia" w:hint="eastAsia"/>
          <w:bCs/>
          <w:kern w:val="0"/>
          <w:sz w:val="24"/>
          <w:lang w:bidi="en-US"/>
        </w:rPr>
        <w:t>公司内部控制主要内容为</w:t>
      </w:r>
      <w:r w:rsidR="00BE21F9">
        <w:rPr>
          <w:rFonts w:asciiTheme="minorEastAsia" w:eastAsiaTheme="minorEastAsia" w:hAnsiTheme="minorEastAsia" w:cstheme="minorEastAsia" w:hint="eastAsia"/>
          <w:bCs/>
          <w:kern w:val="0"/>
          <w:sz w:val="24"/>
          <w:lang w:bidi="en-US"/>
        </w:rPr>
        <w:t>内部环境</w:t>
      </w:r>
      <w:r>
        <w:rPr>
          <w:rFonts w:asciiTheme="minorEastAsia" w:eastAsiaTheme="minorEastAsia" w:hAnsiTheme="minorEastAsia" w:cstheme="minorEastAsia" w:hint="eastAsia"/>
          <w:bCs/>
          <w:kern w:val="0"/>
          <w:sz w:val="24"/>
          <w:lang w:bidi="en-US"/>
        </w:rPr>
        <w:t>、风险评估、控制活动、信息与沟通和</w:t>
      </w:r>
      <w:r w:rsidR="003B5EDC">
        <w:rPr>
          <w:rFonts w:asciiTheme="minorEastAsia" w:eastAsiaTheme="minorEastAsia" w:hAnsiTheme="minorEastAsia" w:cstheme="minorEastAsia" w:hint="eastAsia"/>
          <w:bCs/>
          <w:kern w:val="0"/>
          <w:sz w:val="24"/>
          <w:lang w:bidi="en-US"/>
        </w:rPr>
        <w:t>内部监督</w:t>
      </w:r>
      <w:r>
        <w:rPr>
          <w:rFonts w:asciiTheme="minorEastAsia" w:eastAsiaTheme="minorEastAsia" w:hAnsiTheme="minorEastAsia" w:cstheme="minorEastAsia" w:hint="eastAsia"/>
          <w:bCs/>
          <w:kern w:val="0"/>
          <w:sz w:val="24"/>
          <w:lang w:bidi="en-US"/>
        </w:rPr>
        <w:t>。</w:t>
      </w:r>
      <w:bookmarkStart w:id="1" w:name="_Toc338841710"/>
    </w:p>
    <w:p w14:paraId="5661D6C8" w14:textId="77777777" w:rsidR="00AC301B" w:rsidRDefault="00970C35" w:rsidP="002D5A58">
      <w:pPr>
        <w:pStyle w:val="1"/>
        <w:kinsoku w:val="0"/>
        <w:autoSpaceDE w:val="0"/>
        <w:autoSpaceDN w:val="0"/>
        <w:adjustRightInd w:val="0"/>
        <w:snapToGrid w:val="0"/>
        <w:spacing w:beforeLines="50" w:before="156" w:afterLines="50" w:after="156" w:line="360" w:lineRule="auto"/>
        <w:jc w:val="center"/>
        <w:textAlignment w:val="baseline"/>
        <w:rPr>
          <w:rFonts w:asciiTheme="majorEastAsia" w:eastAsiaTheme="majorEastAsia" w:hAnsiTheme="majorEastAsia" w:cstheme="majorEastAsia"/>
          <w:snapToGrid w:val="0"/>
          <w:color w:val="000000"/>
          <w:sz w:val="30"/>
          <w:szCs w:val="30"/>
          <w:lang w:bidi="en-US"/>
        </w:rPr>
      </w:pPr>
      <w:r>
        <w:rPr>
          <w:rFonts w:asciiTheme="majorEastAsia" w:eastAsiaTheme="majorEastAsia" w:hAnsiTheme="majorEastAsia" w:cstheme="majorEastAsia" w:hint="eastAsia"/>
          <w:snapToGrid w:val="0"/>
          <w:color w:val="000000"/>
          <w:sz w:val="30"/>
          <w:szCs w:val="30"/>
          <w:lang w:bidi="en-US"/>
        </w:rPr>
        <w:t>第二章 内部环境</w:t>
      </w:r>
      <w:bookmarkEnd w:id="1"/>
    </w:p>
    <w:p w14:paraId="68768CB1" w14:textId="690FD609"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第九条</w:t>
      </w:r>
      <w:r w:rsidR="009426E4">
        <w:rPr>
          <w:rFonts w:asciiTheme="minorEastAsia" w:eastAsiaTheme="minorEastAsia" w:hAnsiTheme="minorEastAsia" w:cstheme="minorEastAsia" w:hint="eastAsia"/>
          <w:b/>
          <w:kern w:val="0"/>
          <w:sz w:val="24"/>
          <w:lang w:bidi="en-US"/>
        </w:rPr>
        <w:t xml:space="preserve"> </w:t>
      </w:r>
      <w:r w:rsidR="009426E4" w:rsidRPr="009426E4">
        <w:rPr>
          <w:rFonts w:asciiTheme="minorEastAsia" w:eastAsiaTheme="minorEastAsia" w:hAnsiTheme="minorEastAsia" w:cstheme="minorEastAsia" w:hint="eastAsia"/>
          <w:kern w:val="0"/>
          <w:sz w:val="24"/>
          <w:lang w:bidi="en-US"/>
        </w:rPr>
        <w:t>内部环境是企业实施内部控制的基础，一般包括治理结构、机构设置及权责分配、内部审计、人力资源政策、企业文化等内容。</w:t>
      </w:r>
    </w:p>
    <w:p w14:paraId="007F8FAB"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第十条 </w:t>
      </w:r>
      <w:r>
        <w:rPr>
          <w:rFonts w:asciiTheme="minorEastAsia" w:eastAsiaTheme="minorEastAsia" w:hAnsiTheme="minorEastAsia" w:cstheme="minorEastAsia" w:hint="eastAsia"/>
          <w:bCs/>
          <w:kern w:val="0"/>
          <w:sz w:val="24"/>
          <w:lang w:bidi="en-US"/>
        </w:rPr>
        <w:t>公司须根据国家有关法律、法规和公司章程，建立科学有效的治理结构和组织结构，并确保各项工作责权到位：</w:t>
      </w:r>
    </w:p>
    <w:p w14:paraId="5D45C1D4"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（一）股东会是公司最高权利机构。</w:t>
      </w:r>
    </w:p>
    <w:p w14:paraId="41847F9F"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（二）董事会依据公司章程和股东会授权，对公司经营进行决策管理。</w:t>
      </w:r>
    </w:p>
    <w:p w14:paraId="37ED0FC5"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（三）总经理和其他高级管理人员由董事会聘任或解聘，依据公司章程和董事会授权，对公司经营进行执行管理。</w:t>
      </w:r>
    </w:p>
    <w:p w14:paraId="796B55CE"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（四）董事会审计委员会依据公司章程和股东会授权，对董事会、总经理及高级管理人员、公司运营进行监督。</w:t>
      </w:r>
    </w:p>
    <w:p w14:paraId="0E93FC18" w14:textId="77777777" w:rsidR="00AC301B" w:rsidRDefault="00970C35">
      <w:pPr>
        <w:spacing w:line="360" w:lineRule="auto"/>
        <w:ind w:firstLineChars="200" w:firstLine="480"/>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Cs/>
          <w:kern w:val="0"/>
          <w:sz w:val="24"/>
          <w:lang w:bidi="en-US"/>
        </w:rPr>
        <w:t>（五）公司根据实际经营需要设置各职能管理部门与分子公司。各职能管理部门贯彻执行职责和业务范围内的规章制度，编制各项业务流程，修订并完善业务管理规范，并负责实施。公司对子公司实行主要经济指标绩效考核管理、预算管理、职能部门对口管理以及监控。</w:t>
      </w:r>
    </w:p>
    <w:p w14:paraId="646DB97F"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第十一条 </w:t>
      </w:r>
      <w:r>
        <w:rPr>
          <w:rFonts w:asciiTheme="minorEastAsia" w:eastAsiaTheme="minorEastAsia" w:hAnsiTheme="minorEastAsia" w:cstheme="minorEastAsia" w:hint="eastAsia"/>
          <w:bCs/>
          <w:kern w:val="0"/>
          <w:sz w:val="24"/>
          <w:lang w:bidi="en-US"/>
        </w:rPr>
        <w:t>公司明确界定各分子公司、各职能部门和各岗位职责权限和目标，按照部门负责人责任制进行职权管理，确保其在授权范围内履行职责。对授权实行动态管理，对不适用或不适当的授权经评价后及时进行修改或取消。</w:t>
      </w:r>
    </w:p>
    <w:p w14:paraId="271BFA60" w14:textId="77777777" w:rsidR="009426E4" w:rsidRDefault="009426E4" w:rsidP="009426E4">
      <w:pPr>
        <w:spacing w:line="500" w:lineRule="exact"/>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第十二条 </w:t>
      </w:r>
      <w:r>
        <w:rPr>
          <w:rFonts w:asciiTheme="minorEastAsia" w:eastAsiaTheme="minorEastAsia" w:hAnsiTheme="minorEastAsia" w:cstheme="minorEastAsia" w:hint="eastAsia"/>
          <w:bCs/>
          <w:kern w:val="0"/>
          <w:sz w:val="24"/>
          <w:lang w:bidi="en-US"/>
        </w:rPr>
        <w:t>公司建立健全反舞弊机制，加强内部审计工作，保证内部审计机构设置、人员配备和工作的独立性；内部审计机构应当结合内部审计，对内部控制的有效性进行监督检查；内部审计部门对监督检查中发现的内部控制缺陷，应</w:t>
      </w:r>
      <w:r>
        <w:rPr>
          <w:rFonts w:asciiTheme="minorEastAsia" w:eastAsiaTheme="minorEastAsia" w:hAnsiTheme="minorEastAsia" w:cstheme="minorEastAsia" w:hint="eastAsia"/>
          <w:bCs/>
          <w:kern w:val="0"/>
          <w:sz w:val="24"/>
          <w:lang w:bidi="en-US"/>
        </w:rPr>
        <w:lastRenderedPageBreak/>
        <w:t>当按照企业内部审计工作程序进行报告；对监督检查中发现的内部控制重大缺陷，有权直接向董事会及其审计委员会报告。</w:t>
      </w:r>
    </w:p>
    <w:p w14:paraId="1B9E6882" w14:textId="6B771FA0" w:rsidR="009426E4" w:rsidRPr="009426E4" w:rsidRDefault="009426E4" w:rsidP="009426E4">
      <w:pPr>
        <w:spacing w:line="500" w:lineRule="exact"/>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第十三条 </w:t>
      </w:r>
      <w:r>
        <w:rPr>
          <w:rFonts w:asciiTheme="minorEastAsia" w:eastAsiaTheme="minorEastAsia" w:hAnsiTheme="minorEastAsia" w:cstheme="minorEastAsia" w:hint="eastAsia"/>
          <w:bCs/>
          <w:kern w:val="0"/>
          <w:sz w:val="24"/>
          <w:lang w:bidi="en-US"/>
        </w:rPr>
        <w:t>公司制定岗位工作标准、人力资源管理等规章制度及管理流程，包括招聘管理、培训管理、绩效管理、薪酬管理、人事合同管理等，明确公司员工职务任免、薪酬、考核与奖惩、员工培训等内容，加强职业素质和能力提升。</w:t>
      </w:r>
    </w:p>
    <w:p w14:paraId="7EF64558" w14:textId="66932255" w:rsidR="00AC301B" w:rsidRDefault="00970C35" w:rsidP="009426E4">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第十</w:t>
      </w:r>
      <w:r w:rsidR="009426E4">
        <w:rPr>
          <w:rFonts w:asciiTheme="minorEastAsia" w:eastAsiaTheme="minorEastAsia" w:hAnsiTheme="minorEastAsia" w:cstheme="minorEastAsia" w:hint="eastAsia"/>
          <w:b/>
          <w:kern w:val="0"/>
          <w:sz w:val="24"/>
          <w:lang w:bidi="en-US"/>
        </w:rPr>
        <w:t>四</w:t>
      </w:r>
      <w:r>
        <w:rPr>
          <w:rFonts w:asciiTheme="minorEastAsia" w:eastAsiaTheme="minorEastAsia" w:hAnsiTheme="minorEastAsia" w:cstheme="minorEastAsia" w:hint="eastAsia"/>
          <w:b/>
          <w:kern w:val="0"/>
          <w:sz w:val="24"/>
          <w:lang w:bidi="en-US"/>
        </w:rPr>
        <w:t xml:space="preserve">条 </w:t>
      </w:r>
      <w:r>
        <w:rPr>
          <w:rFonts w:asciiTheme="minorEastAsia" w:eastAsiaTheme="minorEastAsia" w:hAnsiTheme="minorEastAsia" w:cstheme="minorEastAsia" w:hint="eastAsia"/>
          <w:bCs/>
          <w:kern w:val="0"/>
          <w:sz w:val="24"/>
          <w:lang w:bidi="en-US"/>
        </w:rPr>
        <w:t>公司秉承“爱我安泰，以诚相待”的经营理念，加强企业文化建设，培训积极向上的价值观和社会责任感，倡导诚实守信、爱岗敬业、开拓创新和团队协作精神，树立现代管理观念，强化风险意识。董事、高级管理人员应当在公司文化建设中发挥主导作用。公司员工应当遵守员工行为守则，认真履行岗位职责。</w:t>
      </w:r>
    </w:p>
    <w:p w14:paraId="4FD4675E" w14:textId="77777777" w:rsidR="00AC301B" w:rsidRDefault="00970C35" w:rsidP="002D5A58">
      <w:pPr>
        <w:pStyle w:val="1"/>
        <w:kinsoku w:val="0"/>
        <w:autoSpaceDE w:val="0"/>
        <w:autoSpaceDN w:val="0"/>
        <w:adjustRightInd w:val="0"/>
        <w:snapToGrid w:val="0"/>
        <w:spacing w:beforeLines="50" w:before="156" w:afterLines="50" w:after="156" w:line="360" w:lineRule="auto"/>
        <w:jc w:val="center"/>
        <w:textAlignment w:val="baseline"/>
        <w:rPr>
          <w:rFonts w:asciiTheme="majorEastAsia" w:eastAsiaTheme="majorEastAsia" w:hAnsiTheme="majorEastAsia" w:cstheme="majorEastAsia"/>
          <w:snapToGrid w:val="0"/>
          <w:color w:val="000000"/>
          <w:sz w:val="30"/>
          <w:szCs w:val="30"/>
          <w:lang w:bidi="en-US"/>
        </w:rPr>
      </w:pPr>
      <w:bookmarkStart w:id="2" w:name="_Toc338841711"/>
      <w:r>
        <w:rPr>
          <w:rFonts w:asciiTheme="majorEastAsia" w:eastAsiaTheme="majorEastAsia" w:hAnsiTheme="majorEastAsia" w:cstheme="majorEastAsia" w:hint="eastAsia"/>
          <w:snapToGrid w:val="0"/>
          <w:color w:val="000000"/>
          <w:sz w:val="30"/>
          <w:szCs w:val="30"/>
          <w:lang w:bidi="en-US"/>
        </w:rPr>
        <w:t>第三章 风险评估</w:t>
      </w:r>
      <w:bookmarkEnd w:id="2"/>
    </w:p>
    <w:p w14:paraId="35955380"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第十五条 </w:t>
      </w:r>
      <w:r>
        <w:rPr>
          <w:rFonts w:asciiTheme="minorEastAsia" w:eastAsiaTheme="minorEastAsia" w:hAnsiTheme="minorEastAsia" w:cstheme="minorEastAsia" w:hint="eastAsia"/>
          <w:bCs/>
          <w:kern w:val="0"/>
          <w:sz w:val="24"/>
          <w:lang w:bidi="en-US"/>
        </w:rPr>
        <w:t>风险评估旨在帮助公司及时识别、系统分析经营活动中与实现内部控制目标相关的内外部风险，确定相应的风险承受度，从而合理确定风险应对策略。</w:t>
      </w:r>
    </w:p>
    <w:p w14:paraId="43EF6629"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第十六条 </w:t>
      </w:r>
      <w:r>
        <w:rPr>
          <w:rFonts w:asciiTheme="minorEastAsia" w:eastAsiaTheme="minorEastAsia" w:hAnsiTheme="minorEastAsia" w:cstheme="minorEastAsia" w:hint="eastAsia"/>
          <w:bCs/>
          <w:kern w:val="0"/>
          <w:sz w:val="24"/>
          <w:lang w:bidi="en-US"/>
        </w:rPr>
        <w:t>公司根据设定的风险类别控制目标，全面系统持续地收集内部和外部相关信息，结合实际，及时进行风险评估。</w:t>
      </w:r>
    </w:p>
    <w:p w14:paraId="7B338C5F" w14:textId="77777777" w:rsidR="00AC301B" w:rsidRDefault="00970C35">
      <w:pPr>
        <w:shd w:val="clear" w:color="auto" w:fill="CCE8CF" w:themeFill="background1"/>
        <w:spacing w:line="360" w:lineRule="auto"/>
        <w:ind w:firstLineChars="200" w:firstLine="482"/>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b/>
          <w:kern w:val="0"/>
          <w:sz w:val="24"/>
          <w:lang w:bidi="en-US"/>
        </w:rPr>
        <w:t xml:space="preserve">第十七条 </w:t>
      </w:r>
      <w:r>
        <w:rPr>
          <w:rFonts w:asciiTheme="minorEastAsia" w:eastAsiaTheme="minorEastAsia" w:hAnsiTheme="minorEastAsia" w:cstheme="minorEastAsia" w:hint="eastAsia"/>
          <w:kern w:val="0"/>
          <w:sz w:val="24"/>
          <w:lang w:bidi="en-US"/>
        </w:rPr>
        <w:t>公司识别内部风险要重点关注以下因素：</w:t>
      </w:r>
    </w:p>
    <w:p w14:paraId="39D03893"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（一）董事、总经理及其他高级管理人员的职业操守、员工专业胜任能力等人力资源因素；</w:t>
      </w:r>
    </w:p>
    <w:p w14:paraId="04173247"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（二）组织机构、经营方式、资产管理、业务流程等管理因素；</w:t>
      </w:r>
    </w:p>
    <w:p w14:paraId="08F07D3A"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（三）研究开发、技术投入、信息技术运用等自主创新因素；</w:t>
      </w:r>
    </w:p>
    <w:p w14:paraId="0D00CCBA"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（四）财务状况、经营成果、现金流量等财务因素；</w:t>
      </w:r>
    </w:p>
    <w:p w14:paraId="72BAA6F3"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（五）营运安全、员工健康、环境保护等安全环保因素；</w:t>
      </w:r>
    </w:p>
    <w:p w14:paraId="7DA3BEFF"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（六）其他有关内部风险因素。</w:t>
      </w:r>
    </w:p>
    <w:p w14:paraId="0DE32D42" w14:textId="77777777" w:rsidR="00AC301B" w:rsidRDefault="00970C35">
      <w:pPr>
        <w:shd w:val="clear" w:color="auto" w:fill="CCE8CF" w:themeFill="background1"/>
        <w:spacing w:line="360" w:lineRule="auto"/>
        <w:ind w:firstLineChars="200" w:firstLine="482"/>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b/>
          <w:kern w:val="0"/>
          <w:sz w:val="24"/>
          <w:lang w:bidi="en-US"/>
        </w:rPr>
        <w:t>第十八条</w:t>
      </w:r>
      <w:r>
        <w:rPr>
          <w:rFonts w:asciiTheme="minorEastAsia" w:eastAsiaTheme="minorEastAsia" w:hAnsiTheme="minorEastAsia" w:cstheme="minorEastAsia" w:hint="eastAsia"/>
          <w:kern w:val="0"/>
          <w:sz w:val="24"/>
          <w:lang w:bidi="en-US"/>
        </w:rPr>
        <w:t xml:space="preserve"> 公司识别外部风险要重点关注以下因素：</w:t>
      </w:r>
    </w:p>
    <w:p w14:paraId="5F4BF0C0"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（一）经济形势、产业政策、融资环境、市场竞争、资源供给等经济因素；</w:t>
      </w:r>
    </w:p>
    <w:p w14:paraId="7F5FE34B"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（二）法律法规、监管要求等法律因素；</w:t>
      </w:r>
    </w:p>
    <w:p w14:paraId="1C9FA384"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（三）安全稳定、文化传统、社会信用、教育水平等社会因素；</w:t>
      </w:r>
    </w:p>
    <w:p w14:paraId="3350CEC1"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lastRenderedPageBreak/>
        <w:t>（四）技术进步、工艺改进等科学技术因素；</w:t>
      </w:r>
    </w:p>
    <w:p w14:paraId="3E1886BF"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（五）自然灾害、环境状况等自然环境因素；</w:t>
      </w:r>
    </w:p>
    <w:p w14:paraId="1EEE07C1" w14:textId="77777777" w:rsidR="00AC301B" w:rsidRDefault="00970C35">
      <w:pPr>
        <w:shd w:val="clear" w:color="auto" w:fill="CCE8CF" w:themeFill="background1"/>
        <w:spacing w:line="360" w:lineRule="auto"/>
        <w:ind w:firstLineChars="200" w:firstLine="480"/>
        <w:rPr>
          <w:rFonts w:asciiTheme="minorEastAsia" w:eastAsiaTheme="minorEastAsia" w:hAnsiTheme="minorEastAsia" w:cstheme="minorEastAsia"/>
          <w:kern w:val="0"/>
          <w:sz w:val="24"/>
          <w:lang w:bidi="en-US"/>
        </w:rPr>
      </w:pPr>
      <w:r>
        <w:rPr>
          <w:rFonts w:asciiTheme="minorEastAsia" w:eastAsiaTheme="minorEastAsia" w:hAnsiTheme="minorEastAsia" w:cstheme="minorEastAsia" w:hint="eastAsia"/>
          <w:kern w:val="0"/>
          <w:sz w:val="24"/>
          <w:lang w:bidi="en-US"/>
        </w:rPr>
        <w:t>（六）其他有关外部风险因素。</w:t>
      </w:r>
    </w:p>
    <w:p w14:paraId="35DA105C"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第十九条 </w:t>
      </w:r>
      <w:r>
        <w:rPr>
          <w:rFonts w:asciiTheme="minorEastAsia" w:eastAsiaTheme="minorEastAsia" w:hAnsiTheme="minorEastAsia" w:cstheme="minorEastAsia" w:hint="eastAsia"/>
          <w:bCs/>
          <w:kern w:val="0"/>
          <w:sz w:val="24"/>
          <w:lang w:bidi="en-US"/>
        </w:rPr>
        <w:t>公司采用定性与定量相结合的方法，按照风险发生的可能性及其影响程度等，对识别的风险进行分析和排序，确定关注重点和优先控制的风险。公司进行风险分析，应当充分吸收专业人员，组成风险分析团队，按照严格规范的程序开展工作，确保风险分析结果的准确性。</w:t>
      </w:r>
    </w:p>
    <w:p w14:paraId="618E8F91"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第二十条 </w:t>
      </w:r>
      <w:r>
        <w:rPr>
          <w:rFonts w:asciiTheme="minorEastAsia" w:eastAsiaTheme="minorEastAsia" w:hAnsiTheme="minorEastAsia" w:cstheme="minorEastAsia" w:hint="eastAsia"/>
          <w:bCs/>
          <w:kern w:val="0"/>
          <w:sz w:val="24"/>
          <w:lang w:bidi="en-US"/>
        </w:rPr>
        <w:t>公司应当根据风险分析的结果，结合风险承受度，权衡风险与收益，确定风险应对策略。</w:t>
      </w:r>
    </w:p>
    <w:p w14:paraId="29BE4706"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公司合理分析、准确掌握董事及其他高级管理人员、关键岗位员工的风险偏好，采取适当的控制措施，避免因个人风险偏好给公司经营带来重大损失。</w:t>
      </w:r>
    </w:p>
    <w:p w14:paraId="7C03690E"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第二十一条 </w:t>
      </w:r>
      <w:r>
        <w:rPr>
          <w:rFonts w:asciiTheme="minorEastAsia" w:eastAsiaTheme="minorEastAsia" w:hAnsiTheme="minorEastAsia" w:cstheme="minorEastAsia" w:hint="eastAsia"/>
          <w:bCs/>
          <w:kern w:val="0"/>
          <w:sz w:val="24"/>
          <w:lang w:bidi="en-US"/>
        </w:rPr>
        <w:t>公司应当综合运用风险规避、风险降低、风险分担和风险承受等风险应对策略，实现对风险的有效控制。</w:t>
      </w:r>
    </w:p>
    <w:p w14:paraId="7329CCFE"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第二十二条 </w:t>
      </w:r>
      <w:r>
        <w:rPr>
          <w:rFonts w:asciiTheme="minorEastAsia" w:eastAsiaTheme="minorEastAsia" w:hAnsiTheme="minorEastAsia" w:cstheme="minorEastAsia" w:hint="eastAsia"/>
          <w:bCs/>
          <w:kern w:val="0"/>
          <w:sz w:val="24"/>
          <w:lang w:bidi="en-US"/>
        </w:rPr>
        <w:t>公司应当结合不同发展阶段和业务拓展情况，持续收集与风险变化相关的信息，进行风险识别和风险分析，及时调整风险应对策略。</w:t>
      </w:r>
      <w:bookmarkStart w:id="3" w:name="_Toc338841712"/>
    </w:p>
    <w:p w14:paraId="25316D28" w14:textId="77777777" w:rsidR="00AC301B" w:rsidRDefault="00970C35">
      <w:pPr>
        <w:pStyle w:val="1"/>
        <w:kinsoku w:val="0"/>
        <w:autoSpaceDE w:val="0"/>
        <w:autoSpaceDN w:val="0"/>
        <w:adjustRightInd w:val="0"/>
        <w:snapToGrid w:val="0"/>
        <w:spacing w:before="157" w:after="157" w:line="360" w:lineRule="auto"/>
        <w:jc w:val="center"/>
        <w:textAlignment w:val="baseline"/>
        <w:rPr>
          <w:rFonts w:asciiTheme="majorEastAsia" w:eastAsiaTheme="majorEastAsia" w:hAnsiTheme="majorEastAsia" w:cstheme="majorEastAsia"/>
          <w:snapToGrid w:val="0"/>
          <w:color w:val="000000"/>
          <w:sz w:val="30"/>
          <w:szCs w:val="30"/>
          <w:lang w:bidi="en-US"/>
        </w:rPr>
      </w:pPr>
      <w:r>
        <w:rPr>
          <w:rFonts w:asciiTheme="majorEastAsia" w:eastAsiaTheme="majorEastAsia" w:hAnsiTheme="majorEastAsia" w:cstheme="majorEastAsia" w:hint="eastAsia"/>
          <w:snapToGrid w:val="0"/>
          <w:color w:val="000000"/>
          <w:sz w:val="30"/>
          <w:szCs w:val="30"/>
          <w:lang w:bidi="en-US"/>
        </w:rPr>
        <w:t>第四章 控制活动</w:t>
      </w:r>
      <w:bookmarkEnd w:id="3"/>
    </w:p>
    <w:p w14:paraId="5CFC670B"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第二十三条 </w:t>
      </w:r>
      <w:r>
        <w:rPr>
          <w:rFonts w:asciiTheme="minorEastAsia" w:eastAsiaTheme="minorEastAsia" w:hAnsiTheme="minorEastAsia" w:cstheme="minorEastAsia" w:hint="eastAsia"/>
          <w:bCs/>
          <w:kern w:val="0"/>
          <w:sz w:val="24"/>
          <w:lang w:bidi="en-US"/>
        </w:rPr>
        <w:t>控制活动是指公司各职能部门、分子公司根据自身专业系统的特点和业务需要，制定各项业务管理规章、操作流程或岗位手册，以及针对各个风险点制定必要的控制程序。</w:t>
      </w:r>
    </w:p>
    <w:p w14:paraId="60146BAB"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第二十四条 </w:t>
      </w:r>
      <w:r>
        <w:rPr>
          <w:rFonts w:asciiTheme="minorEastAsia" w:eastAsiaTheme="minorEastAsia" w:hAnsiTheme="minorEastAsia" w:cstheme="minorEastAsia" w:hint="eastAsia"/>
          <w:kern w:val="0"/>
          <w:sz w:val="24"/>
          <w:lang w:bidi="en-US"/>
        </w:rPr>
        <w:t>公司结合风险评估结果，通过不同控制方法，运用不相容职务分离控制、授权审批控制、会计系统控制、财产保护控制、预算控制、运营分析控制和绩效考评控制等控制措施，将风险控制在可承受度之内。</w:t>
      </w:r>
    </w:p>
    <w:p w14:paraId="344C9462"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公司各职能部门、分子公司应根据各专业系统的风险状况制定相应的内部控制程序，并负责各自专业系统内部控制的有效执行。</w:t>
      </w:r>
    </w:p>
    <w:p w14:paraId="4E8454F2"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bCs/>
          <w:kern w:val="0"/>
          <w:sz w:val="24"/>
          <w:lang w:bidi="en-US"/>
        </w:rPr>
        <w:t>第二十五条</w:t>
      </w:r>
      <w:r>
        <w:rPr>
          <w:rFonts w:asciiTheme="minorEastAsia" w:eastAsiaTheme="minorEastAsia" w:hAnsiTheme="minorEastAsia" w:cstheme="minorEastAsia" w:hint="eastAsia"/>
          <w:bCs/>
          <w:kern w:val="0"/>
          <w:sz w:val="24"/>
          <w:lang w:bidi="en-US"/>
        </w:rPr>
        <w:t xml:space="preserve"> 公司实施授权审批控制，根据常规授权和特别授权的规定，明确各岗位办理业务和事项的权限范围、审批程序和相应责任。</w:t>
      </w:r>
    </w:p>
    <w:p w14:paraId="45BBB3E3" w14:textId="261ED76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公司</w:t>
      </w:r>
      <w:r w:rsidR="00D31FF6">
        <w:rPr>
          <w:rFonts w:asciiTheme="minorEastAsia" w:eastAsiaTheme="minorEastAsia" w:hAnsiTheme="minorEastAsia" w:cstheme="minorEastAsia" w:hint="eastAsia"/>
          <w:bCs/>
          <w:kern w:val="0"/>
          <w:sz w:val="24"/>
          <w:lang w:bidi="en-US"/>
        </w:rPr>
        <w:t>应当</w:t>
      </w:r>
      <w:r>
        <w:rPr>
          <w:rFonts w:asciiTheme="minorEastAsia" w:eastAsiaTheme="minorEastAsia" w:hAnsiTheme="minorEastAsia" w:cstheme="minorEastAsia" w:hint="eastAsia"/>
          <w:bCs/>
          <w:kern w:val="0"/>
          <w:sz w:val="24"/>
          <w:lang w:bidi="en-US"/>
        </w:rPr>
        <w:t>编制常规授权的权限指引，规范特别授权的范围、权限、程序和责任，严格控制特别授权。</w:t>
      </w:r>
    </w:p>
    <w:p w14:paraId="4CF0DB7D"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公司各级管理人员应当在授权范围内行使职权和承担责任。</w:t>
      </w:r>
    </w:p>
    <w:p w14:paraId="1745800D"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lastRenderedPageBreak/>
        <w:t>公司对于重大的业务和事项，应当实行集体决策审批或者联签制度，任何个人不得单独进行决策或者擅自改变集体决策。</w:t>
      </w:r>
    </w:p>
    <w:p w14:paraId="413E0CAA"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bCs/>
          <w:kern w:val="0"/>
          <w:sz w:val="24"/>
          <w:lang w:bidi="en-US"/>
        </w:rPr>
        <w:t>第二十六条</w:t>
      </w:r>
      <w:r>
        <w:rPr>
          <w:rFonts w:asciiTheme="minorEastAsia" w:eastAsiaTheme="minorEastAsia" w:hAnsiTheme="minorEastAsia" w:cstheme="minorEastAsia" w:hint="eastAsia"/>
          <w:bCs/>
          <w:kern w:val="0"/>
          <w:sz w:val="24"/>
          <w:lang w:bidi="en-US"/>
        </w:rPr>
        <w:t xml:space="preserve"> 公司实施会计系统控制，严格执行国家统一的会计准则制度，加强会计基础工作，明确会计凭证、会计账簿和财务会计报告的处理程序，保证会计资料真实完整。</w:t>
      </w:r>
    </w:p>
    <w:p w14:paraId="0478A509" w14:textId="5A27D99D"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公司依法设置会计机构，配备会计从业人员。</w:t>
      </w:r>
    </w:p>
    <w:p w14:paraId="35990E6C"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bCs/>
          <w:kern w:val="0"/>
          <w:sz w:val="24"/>
          <w:lang w:bidi="en-US"/>
        </w:rPr>
        <w:t>第二十七条</w:t>
      </w:r>
      <w:r>
        <w:rPr>
          <w:rFonts w:asciiTheme="minorEastAsia" w:eastAsiaTheme="minorEastAsia" w:hAnsiTheme="minorEastAsia" w:cstheme="minorEastAsia" w:hint="eastAsia"/>
          <w:bCs/>
          <w:kern w:val="0"/>
          <w:sz w:val="24"/>
          <w:lang w:bidi="en-US"/>
        </w:rPr>
        <w:t xml:space="preserve"> 公司实施财产保护控制，建立财产日常管理制度和定期清查制度，采取财产记录、实物保管、定期盘点、账实核对等措施，确保财产安全。</w:t>
      </w:r>
    </w:p>
    <w:p w14:paraId="4BCB04FF" w14:textId="77777777" w:rsidR="00AC301B" w:rsidRDefault="00970C35">
      <w:pPr>
        <w:spacing w:line="360" w:lineRule="auto"/>
        <w:ind w:firstLineChars="200" w:firstLine="480"/>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Cs/>
          <w:kern w:val="0"/>
          <w:sz w:val="24"/>
          <w:lang w:bidi="en-US"/>
        </w:rPr>
        <w:t>公司严格限制未经授权的人员接触和处置财产。</w:t>
      </w:r>
    </w:p>
    <w:p w14:paraId="1D1833B3"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bCs/>
          <w:kern w:val="0"/>
          <w:sz w:val="24"/>
          <w:lang w:bidi="en-US"/>
        </w:rPr>
        <w:t>第二十八条</w:t>
      </w:r>
      <w:r>
        <w:rPr>
          <w:rFonts w:asciiTheme="minorEastAsia" w:eastAsiaTheme="minorEastAsia" w:hAnsiTheme="minorEastAsia" w:cstheme="minorEastAsia" w:hint="eastAsia"/>
          <w:bCs/>
          <w:kern w:val="0"/>
          <w:sz w:val="24"/>
          <w:lang w:bidi="en-US"/>
        </w:rPr>
        <w:t xml:space="preserve"> 公司实施预算控制，实施全面预算管理制度，明确各责任单位在预算管理中的职责权限，规范预算的编制、审定、下达和执行程序，强化预算约束。</w:t>
      </w:r>
    </w:p>
    <w:p w14:paraId="6FDC4A12"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第二十九条 </w:t>
      </w:r>
      <w:r>
        <w:rPr>
          <w:rFonts w:asciiTheme="minorEastAsia" w:eastAsiaTheme="minorEastAsia" w:hAnsiTheme="minorEastAsia" w:cstheme="minorEastAsia" w:hint="eastAsia"/>
          <w:bCs/>
          <w:kern w:val="0"/>
          <w:sz w:val="24"/>
          <w:lang w:bidi="en-US"/>
        </w:rPr>
        <w:t>公司实施运营情况分析机制，管理层应当综合运用生产、购销、投资、筹资、财务等方面的信息，通过因素分析、对比分析、趋势分析等方法，定期开展运营情况分析，发现存在的问题，及时查明原因并加以改进。</w:t>
      </w:r>
    </w:p>
    <w:p w14:paraId="0FF45B32" w14:textId="21256FC6"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第三十条 </w:t>
      </w:r>
      <w:r>
        <w:rPr>
          <w:rFonts w:asciiTheme="minorEastAsia" w:eastAsiaTheme="minorEastAsia" w:hAnsiTheme="minorEastAsia" w:cstheme="minorEastAsia" w:hint="eastAsia"/>
          <w:bCs/>
          <w:kern w:val="0"/>
          <w:sz w:val="24"/>
          <w:lang w:bidi="en-US"/>
        </w:rPr>
        <w:t>公司财务部应定期取得并分析各</w:t>
      </w:r>
      <w:r w:rsidR="009426E4">
        <w:rPr>
          <w:rFonts w:asciiTheme="minorEastAsia" w:eastAsiaTheme="minorEastAsia" w:hAnsiTheme="minorEastAsia" w:cstheme="minorEastAsia" w:hint="eastAsia"/>
          <w:bCs/>
          <w:kern w:val="0"/>
          <w:sz w:val="24"/>
          <w:lang w:bidi="en-US"/>
        </w:rPr>
        <w:t>独立经营</w:t>
      </w:r>
      <w:r>
        <w:rPr>
          <w:rFonts w:asciiTheme="minorEastAsia" w:eastAsiaTheme="minorEastAsia" w:hAnsiTheme="minorEastAsia" w:cstheme="minorEastAsia" w:hint="eastAsia"/>
          <w:bCs/>
          <w:kern w:val="0"/>
          <w:sz w:val="24"/>
          <w:lang w:bidi="en-US"/>
        </w:rPr>
        <w:t>子公司的季度（月度）报告，包括营运报告、产销量报表、资产负债表、损益表、现金流量表、向他人提供资金及提供担保报表等；</w:t>
      </w:r>
      <w:r>
        <w:rPr>
          <w:rFonts w:ascii="宋体" w:hAnsi="宋体" w:hint="eastAsia"/>
          <w:bCs/>
          <w:kern w:val="0"/>
          <w:sz w:val="24"/>
          <w:lang w:bidi="en-US"/>
        </w:rPr>
        <w:t>结合公司实际情况，建立对各</w:t>
      </w:r>
      <w:r w:rsidR="009426E4">
        <w:rPr>
          <w:rFonts w:ascii="宋体" w:hAnsi="宋体" w:hint="eastAsia"/>
          <w:bCs/>
          <w:kern w:val="0"/>
          <w:sz w:val="24"/>
          <w:lang w:bidi="en-US"/>
        </w:rPr>
        <w:t>独立经营</w:t>
      </w:r>
      <w:r>
        <w:rPr>
          <w:rFonts w:ascii="宋体" w:hAnsi="宋体" w:hint="eastAsia"/>
          <w:bCs/>
          <w:kern w:val="0"/>
          <w:sz w:val="24"/>
          <w:lang w:bidi="en-US"/>
        </w:rPr>
        <w:t>子公司的</w:t>
      </w:r>
      <w:r w:rsidR="00D31FF6">
        <w:rPr>
          <w:rFonts w:ascii="宋体" w:hAnsi="宋体" w:hint="eastAsia"/>
          <w:bCs/>
          <w:kern w:val="0"/>
          <w:sz w:val="24"/>
          <w:lang w:bidi="en-US"/>
        </w:rPr>
        <w:t>管理</w:t>
      </w:r>
      <w:r>
        <w:rPr>
          <w:rFonts w:ascii="宋体" w:hAnsi="宋体" w:hint="eastAsia"/>
          <w:bCs/>
          <w:kern w:val="0"/>
          <w:sz w:val="24"/>
          <w:lang w:bidi="en-US"/>
        </w:rPr>
        <w:t>制度。</w:t>
      </w:r>
    </w:p>
    <w:p w14:paraId="0C90D751"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第三十一条 </w:t>
      </w:r>
      <w:r>
        <w:rPr>
          <w:rFonts w:asciiTheme="minorEastAsia" w:eastAsiaTheme="minorEastAsia" w:hAnsiTheme="minorEastAsia" w:cstheme="minorEastAsia" w:hint="eastAsia"/>
          <w:bCs/>
          <w:kern w:val="0"/>
          <w:sz w:val="24"/>
          <w:lang w:bidi="en-US"/>
        </w:rPr>
        <w:t>公司应建立投资业务的内部控制体系，对投资的审批权限、审批程序、决策过程以及责任追究做出明确规定。公司应在公司章程中明确股东会、董事会对重大投资的审批权限、制定相应的审议程序。</w:t>
      </w:r>
    </w:p>
    <w:p w14:paraId="1DC7930D"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第三十二条 </w:t>
      </w:r>
      <w:r>
        <w:rPr>
          <w:rFonts w:asciiTheme="minorEastAsia" w:eastAsiaTheme="minorEastAsia" w:hAnsiTheme="minorEastAsia" w:cstheme="minorEastAsia" w:hint="eastAsia"/>
          <w:bCs/>
          <w:kern w:val="0"/>
          <w:sz w:val="24"/>
          <w:lang w:bidi="en-US"/>
        </w:rPr>
        <w:t>公司应制定关联交易管理制度，明确关联交易应遵循诚实信用、平等、自愿、公平、公开、公允的原则，不得损害公司和其他股东的利益。公司应按照有关法律、法规的规定，明确划分公司股东会、董事会对关联交易事项的审批权限，规定关联交易事项的审议程序和回避表决要求。公司与关联方之间的交易应签订书面协议，明确交易双方的权利义务及法律责任。</w:t>
      </w:r>
    </w:p>
    <w:p w14:paraId="4907BB47"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第三十三条 </w:t>
      </w:r>
      <w:r>
        <w:rPr>
          <w:rFonts w:asciiTheme="minorEastAsia" w:eastAsiaTheme="minorEastAsia" w:hAnsiTheme="minorEastAsia" w:cstheme="minorEastAsia" w:hint="eastAsia"/>
          <w:bCs/>
          <w:kern w:val="0"/>
          <w:sz w:val="24"/>
          <w:lang w:bidi="en-US"/>
        </w:rPr>
        <w:t>公司建立对外担保内部控制体系，明确股东会、董事会关于对外担保事项的审批权限、以及违反审批权限和审议程序的责任追究机制。公司独</w:t>
      </w:r>
      <w:r>
        <w:rPr>
          <w:rFonts w:asciiTheme="minorEastAsia" w:eastAsiaTheme="minorEastAsia" w:hAnsiTheme="minorEastAsia" w:cstheme="minorEastAsia" w:hint="eastAsia"/>
          <w:bCs/>
          <w:kern w:val="0"/>
          <w:sz w:val="24"/>
          <w:lang w:bidi="en-US"/>
        </w:rPr>
        <w:lastRenderedPageBreak/>
        <w:t>立董事应在董事会审议对外担保事项时发表独立意见。公司应妥善保管担保合同及相关原始材料，及时进行清理检查，保证存档资料的完整、准确、有效，注意担保的时效期限。</w:t>
      </w:r>
    </w:p>
    <w:p w14:paraId="525EE39A"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第三十四条 </w:t>
      </w:r>
      <w:r>
        <w:rPr>
          <w:rFonts w:asciiTheme="minorEastAsia" w:eastAsiaTheme="minorEastAsia" w:hAnsiTheme="minorEastAsia" w:cstheme="minorEastAsia" w:hint="eastAsia"/>
          <w:bCs/>
          <w:kern w:val="0"/>
          <w:sz w:val="24"/>
          <w:lang w:bidi="en-US"/>
        </w:rPr>
        <w:t>公司建立募集资金管理制度，对募集资金存储、审批、使用、变更、监督和责任追究等内容进行明确规定。公司对募集资金进行专户存储管理，制定严格的募集资金使用审批程序和管理流程，保证募集资金按照招股说明书所列资金用途使用。公司应当在每个会计年度结束后全面核查募集资金投资项目的进展情况，并在年度报告中作相应披露。</w:t>
      </w:r>
      <w:bookmarkStart w:id="4" w:name="_Toc338841713"/>
    </w:p>
    <w:p w14:paraId="3EC8AE9C"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bCs/>
          <w:kern w:val="0"/>
          <w:sz w:val="24"/>
          <w:lang w:bidi="en-US"/>
        </w:rPr>
        <w:t>第三十五条</w:t>
      </w:r>
      <w:r>
        <w:rPr>
          <w:rFonts w:asciiTheme="minorEastAsia" w:eastAsiaTheme="minorEastAsia" w:hAnsiTheme="minorEastAsia" w:cstheme="minorEastAsia" w:hint="eastAsia"/>
          <w:bCs/>
          <w:kern w:val="0"/>
          <w:sz w:val="24"/>
          <w:lang w:bidi="en-US"/>
        </w:rPr>
        <w:t xml:space="preserve"> 公司建立和实施绩效考评制度，科学设置考核指标体系，对公司内部各责任单位和全体员工的业绩进行定期考核和客观评价，将考评结果作为确定员工薪酬以及职务晋升、评优、降级、调岗、辞退等的依据。</w:t>
      </w:r>
    </w:p>
    <w:p w14:paraId="233FF7CF"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bCs/>
          <w:kern w:val="0"/>
          <w:sz w:val="24"/>
          <w:lang w:bidi="en-US"/>
        </w:rPr>
        <w:t>第三十六条</w:t>
      </w:r>
      <w:r>
        <w:rPr>
          <w:rFonts w:asciiTheme="minorEastAsia" w:eastAsiaTheme="minorEastAsia" w:hAnsiTheme="minorEastAsia" w:cstheme="minorEastAsia" w:hint="eastAsia"/>
          <w:bCs/>
          <w:kern w:val="0"/>
          <w:sz w:val="24"/>
          <w:lang w:bidi="en-US"/>
        </w:rPr>
        <w:t xml:space="preserve"> 公司建立重大风险预警机制和突发事件应急处理机制，明确风险预警标准，对可能发生的重大风险或者突发事件，制定应急预案、明确责任人员、规范处置程序，确保突发事件得到及时妥善处理。</w:t>
      </w:r>
    </w:p>
    <w:p w14:paraId="44B55A40" w14:textId="77777777" w:rsidR="00AC301B" w:rsidRDefault="00970C35">
      <w:pPr>
        <w:pStyle w:val="1"/>
        <w:kinsoku w:val="0"/>
        <w:autoSpaceDE w:val="0"/>
        <w:autoSpaceDN w:val="0"/>
        <w:adjustRightInd w:val="0"/>
        <w:snapToGrid w:val="0"/>
        <w:spacing w:before="157" w:after="157" w:line="360" w:lineRule="auto"/>
        <w:jc w:val="center"/>
        <w:textAlignment w:val="baseline"/>
        <w:rPr>
          <w:rFonts w:asciiTheme="majorEastAsia" w:eastAsiaTheme="majorEastAsia" w:hAnsiTheme="majorEastAsia" w:cstheme="majorEastAsia"/>
          <w:snapToGrid w:val="0"/>
          <w:color w:val="000000"/>
          <w:sz w:val="30"/>
          <w:szCs w:val="30"/>
          <w:lang w:bidi="en-US"/>
        </w:rPr>
      </w:pPr>
      <w:r>
        <w:rPr>
          <w:rFonts w:asciiTheme="majorEastAsia" w:eastAsiaTheme="majorEastAsia" w:hAnsiTheme="majorEastAsia" w:cstheme="majorEastAsia" w:hint="eastAsia"/>
          <w:snapToGrid w:val="0"/>
          <w:color w:val="000000"/>
          <w:sz w:val="30"/>
          <w:szCs w:val="30"/>
          <w:lang w:bidi="en-US"/>
        </w:rPr>
        <w:t>第五章 信息与沟通</w:t>
      </w:r>
      <w:bookmarkEnd w:id="4"/>
    </w:p>
    <w:p w14:paraId="5FC81DCD"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第三十七条 </w:t>
      </w:r>
      <w:r>
        <w:rPr>
          <w:rFonts w:asciiTheme="minorEastAsia" w:eastAsiaTheme="minorEastAsia" w:hAnsiTheme="minorEastAsia" w:cstheme="minorEastAsia" w:hint="eastAsia"/>
          <w:bCs/>
          <w:kern w:val="0"/>
          <w:sz w:val="24"/>
          <w:lang w:bidi="en-US"/>
        </w:rPr>
        <w:t>公司信息控制分为内部信息沟通控制和公开信息披露控制。</w:t>
      </w:r>
    </w:p>
    <w:p w14:paraId="12811383" w14:textId="77777777" w:rsidR="00AC301B" w:rsidRDefault="00970C35">
      <w:pPr>
        <w:spacing w:line="360" w:lineRule="auto"/>
        <w:ind w:firstLineChars="200" w:firstLine="482"/>
        <w:rPr>
          <w:rFonts w:asciiTheme="minorEastAsia" w:eastAsiaTheme="minorEastAsia" w:hAnsiTheme="minorEastAsia" w:cstheme="minorEastAsia"/>
          <w:b/>
          <w:kern w:val="0"/>
          <w:sz w:val="24"/>
          <w:lang w:bidi="en-US"/>
        </w:rPr>
      </w:pPr>
      <w:r>
        <w:rPr>
          <w:rFonts w:asciiTheme="minorEastAsia" w:eastAsiaTheme="minorEastAsia" w:hAnsiTheme="minorEastAsia" w:cstheme="minorEastAsia" w:hint="eastAsia"/>
          <w:b/>
          <w:kern w:val="0"/>
          <w:sz w:val="24"/>
          <w:lang w:bidi="en-US"/>
        </w:rPr>
        <w:t xml:space="preserve">第三十八条 </w:t>
      </w:r>
      <w:r>
        <w:rPr>
          <w:rFonts w:asciiTheme="minorEastAsia" w:eastAsiaTheme="minorEastAsia" w:hAnsiTheme="minorEastAsia" w:cstheme="minorEastAsia" w:hint="eastAsia"/>
          <w:bCs/>
          <w:kern w:val="0"/>
          <w:sz w:val="24"/>
          <w:lang w:bidi="en-US"/>
        </w:rPr>
        <w:t>公司制定办公自动化管理办法，建立内部信息传递体系，规范公司内部信息收集传递流程，有效利用和共享信息，提高信息传递效率。</w:t>
      </w:r>
    </w:p>
    <w:p w14:paraId="37129B64"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第三十九条 </w:t>
      </w:r>
      <w:r>
        <w:rPr>
          <w:rFonts w:asciiTheme="minorEastAsia" w:eastAsiaTheme="minorEastAsia" w:hAnsiTheme="minorEastAsia" w:cstheme="minorEastAsia" w:hint="eastAsia"/>
          <w:bCs/>
          <w:kern w:val="0"/>
          <w:sz w:val="24"/>
          <w:lang w:bidi="en-US"/>
        </w:rPr>
        <w:t>公司建立信息披露管理制度和重大信息内部报告制度，明确重大信息的范围和内容。指定董事会秘书为公司对外发布信息的主要联系人，并明确各相关部门的重大信息报告责任人。</w:t>
      </w:r>
    </w:p>
    <w:p w14:paraId="3CCE8A41" w14:textId="77777777" w:rsidR="00AC301B" w:rsidRDefault="00970C35">
      <w:pPr>
        <w:spacing w:line="360" w:lineRule="auto"/>
        <w:ind w:firstLineChars="200" w:firstLine="482"/>
        <w:jc w:val="left"/>
        <w:rPr>
          <w:rFonts w:asciiTheme="minorEastAsia" w:eastAsiaTheme="minorEastAsia" w:hAnsiTheme="minorEastAsia" w:cstheme="minorEastAsia"/>
          <w:bCs/>
          <w:kern w:val="0"/>
          <w:sz w:val="24"/>
          <w:lang w:bidi="en-US"/>
        </w:rPr>
      </w:pPr>
      <w:r>
        <w:rPr>
          <w:rFonts w:ascii="宋体" w:hAnsi="宋体" w:hint="eastAsia"/>
          <w:b/>
          <w:kern w:val="0"/>
          <w:sz w:val="24"/>
          <w:lang w:bidi="en-US"/>
        </w:rPr>
        <w:t>第四十条</w:t>
      </w:r>
      <w:r>
        <w:rPr>
          <w:rFonts w:ascii="宋体" w:hAnsi="宋体" w:hint="eastAsia"/>
          <w:bCs/>
          <w:kern w:val="0"/>
          <w:sz w:val="24"/>
          <w:lang w:bidi="en-US"/>
        </w:rPr>
        <w:t xml:space="preserve"> 当出现、发生或即将发生可能对公司股票的交易价格产生较大影响的情形或事件时，负有报告义务的责任人应及时将相关信息向公司董事会和董事会秘书进行报告；当董事会秘书需了解重大事项的情况和进展时，相关部门及人员应予以积极配合和协助，及时、准确、完整地进行回复，并根据要求提供相关资料。</w:t>
      </w:r>
    </w:p>
    <w:p w14:paraId="45519983"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t xml:space="preserve">第四十一条 </w:t>
      </w:r>
      <w:r>
        <w:rPr>
          <w:rFonts w:asciiTheme="minorEastAsia" w:eastAsiaTheme="minorEastAsia" w:hAnsiTheme="minorEastAsia" w:cstheme="minorEastAsia" w:hint="eastAsia"/>
          <w:bCs/>
          <w:kern w:val="0"/>
          <w:sz w:val="24"/>
          <w:lang w:bidi="en-US"/>
        </w:rPr>
        <w:t>公司建立重大信息的内部保密体系。因工作关系了解到相关信息的人员，在该信息尚未公开披露之前，负有保密义务。若信息不能保密或已经泄漏，公司应采取及时向监管部门报告和对外披露的措施。</w:t>
      </w:r>
    </w:p>
    <w:p w14:paraId="0FD5F153" w14:textId="77777777" w:rsidR="00AC301B" w:rsidRDefault="00970C35">
      <w:pPr>
        <w:spacing w:line="360" w:lineRule="auto"/>
        <w:ind w:firstLineChars="200" w:firstLine="482"/>
        <w:rPr>
          <w:rFonts w:asciiTheme="minorEastAsia" w:eastAsiaTheme="minorEastAsia" w:hAnsiTheme="minorEastAsia" w:cstheme="minorEastAsia"/>
          <w:bCs/>
          <w:kern w:val="0"/>
          <w:sz w:val="24"/>
          <w:lang w:bidi="en-US"/>
        </w:rPr>
      </w:pPr>
      <w:r>
        <w:rPr>
          <w:rFonts w:asciiTheme="minorEastAsia" w:eastAsiaTheme="minorEastAsia" w:hAnsiTheme="minorEastAsia" w:cstheme="minorEastAsia" w:hint="eastAsia"/>
          <w:b/>
          <w:kern w:val="0"/>
          <w:sz w:val="24"/>
          <w:lang w:bidi="en-US"/>
        </w:rPr>
        <w:lastRenderedPageBreak/>
        <w:t xml:space="preserve">第四十二条 </w:t>
      </w:r>
      <w:r>
        <w:rPr>
          <w:rFonts w:asciiTheme="minorEastAsia" w:eastAsiaTheme="minorEastAsia" w:hAnsiTheme="minorEastAsia" w:cstheme="minorEastAsia" w:hint="eastAsia"/>
          <w:bCs/>
          <w:kern w:val="0"/>
          <w:sz w:val="24"/>
          <w:lang w:bidi="en-US"/>
        </w:rPr>
        <w:t>公司建立投资者关系管理制度，遵守《上市公司投资者关系管理工作指引》的规定，规范公司对外接待、网上路演等投资者关系活动，确保信息披露的公平性。</w:t>
      </w:r>
      <w:bookmarkStart w:id="5" w:name="_Toc338841714"/>
    </w:p>
    <w:p w14:paraId="643F74B5" w14:textId="77777777" w:rsidR="00AC301B" w:rsidRDefault="00970C35">
      <w:pPr>
        <w:spacing w:line="360" w:lineRule="auto"/>
        <w:ind w:firstLineChars="200" w:firstLine="482"/>
        <w:jc w:val="left"/>
        <w:rPr>
          <w:rFonts w:ascii="宋体" w:hAnsi="宋体"/>
          <w:bCs/>
          <w:kern w:val="0"/>
          <w:sz w:val="24"/>
          <w:lang w:bidi="en-US"/>
        </w:rPr>
      </w:pPr>
      <w:r>
        <w:rPr>
          <w:rFonts w:ascii="宋体" w:hAnsi="宋体" w:hint="eastAsia"/>
          <w:b/>
          <w:kern w:val="0"/>
          <w:sz w:val="24"/>
          <w:lang w:bidi="en-US"/>
        </w:rPr>
        <w:t xml:space="preserve">第四十三条 </w:t>
      </w:r>
      <w:r>
        <w:rPr>
          <w:rFonts w:ascii="宋体" w:hAnsi="宋体" w:hint="eastAsia"/>
          <w:bCs/>
          <w:kern w:val="0"/>
          <w:sz w:val="24"/>
          <w:lang w:bidi="en-US"/>
        </w:rPr>
        <w:t>公司董事会秘书应对上报的内部重大信息进行分析和判断。如按规定需要履行信息披露义务的，董事会秘书应及时向董事会报告，提请董事会履行相应程序并对外披露。</w:t>
      </w:r>
    </w:p>
    <w:p w14:paraId="64BE9364"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第四十四条 </w:t>
      </w:r>
      <w:r>
        <w:rPr>
          <w:rFonts w:ascii="宋体" w:hAnsi="宋体" w:hint="eastAsia"/>
          <w:bCs/>
          <w:kern w:val="0"/>
          <w:sz w:val="24"/>
          <w:lang w:bidi="en-US"/>
        </w:rPr>
        <w:t>公司及其实际控制人存在公开承诺事项的，公司应指定专人跟踪承诺事项的落实情况，关注承诺事项履行条件的变化，及时向公司董事会报告事件动态，按规定对外披露相关事实。</w:t>
      </w:r>
    </w:p>
    <w:p w14:paraId="31586AFB"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第四十五条</w:t>
      </w:r>
      <w:r>
        <w:rPr>
          <w:rFonts w:ascii="宋体" w:hAnsi="宋体" w:hint="eastAsia"/>
          <w:bCs/>
          <w:kern w:val="0"/>
          <w:sz w:val="24"/>
          <w:lang w:bidi="en-US"/>
        </w:rPr>
        <w:t xml:space="preserve"> 公司建立反舞弊机制，坚持惩防并举、重在预防的原则，明确反舞弊工作的重点领域、关键环节和有关机构在反舞弊工作中的职责权限，规范舞弊案件的举报、调查、处理、报告和补救程序。</w:t>
      </w:r>
    </w:p>
    <w:p w14:paraId="290DF6D8"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第四十六条</w:t>
      </w:r>
      <w:r>
        <w:rPr>
          <w:rFonts w:ascii="宋体" w:hAnsi="宋体" w:hint="eastAsia"/>
          <w:bCs/>
          <w:kern w:val="0"/>
          <w:sz w:val="24"/>
          <w:lang w:bidi="en-US"/>
        </w:rPr>
        <w:t xml:space="preserve"> 公司建立举报投诉制度和举报人保护制度，设置举报专线，明确举报投诉处理程序，办理时限和办结要求，确保举报、投诉成为企业有效掌握信息的重要途径。</w:t>
      </w:r>
    </w:p>
    <w:p w14:paraId="5AB5852D" w14:textId="62664DD9" w:rsidR="00AC301B" w:rsidRDefault="00970C35">
      <w:pPr>
        <w:pStyle w:val="1"/>
        <w:kinsoku w:val="0"/>
        <w:autoSpaceDE w:val="0"/>
        <w:autoSpaceDN w:val="0"/>
        <w:adjustRightInd w:val="0"/>
        <w:snapToGrid w:val="0"/>
        <w:spacing w:before="157" w:after="157" w:line="360" w:lineRule="auto"/>
        <w:jc w:val="center"/>
        <w:textAlignment w:val="baseline"/>
        <w:rPr>
          <w:rFonts w:asciiTheme="majorEastAsia" w:eastAsiaTheme="majorEastAsia" w:hAnsiTheme="majorEastAsia" w:cstheme="majorEastAsia"/>
          <w:snapToGrid w:val="0"/>
          <w:color w:val="000000"/>
          <w:sz w:val="30"/>
          <w:szCs w:val="30"/>
          <w:lang w:bidi="en-US"/>
        </w:rPr>
      </w:pPr>
      <w:r>
        <w:rPr>
          <w:rFonts w:asciiTheme="majorEastAsia" w:eastAsiaTheme="majorEastAsia" w:hAnsiTheme="majorEastAsia" w:cstheme="majorEastAsia" w:hint="eastAsia"/>
          <w:snapToGrid w:val="0"/>
          <w:color w:val="000000"/>
          <w:sz w:val="30"/>
          <w:szCs w:val="30"/>
          <w:lang w:bidi="en-US"/>
        </w:rPr>
        <w:t xml:space="preserve">第六章 </w:t>
      </w:r>
      <w:r w:rsidR="009426E4">
        <w:rPr>
          <w:rFonts w:asciiTheme="majorEastAsia" w:eastAsiaTheme="majorEastAsia" w:hAnsiTheme="majorEastAsia" w:cstheme="majorEastAsia" w:hint="eastAsia"/>
          <w:snapToGrid w:val="0"/>
          <w:color w:val="000000"/>
          <w:sz w:val="30"/>
          <w:szCs w:val="30"/>
          <w:lang w:bidi="en-US"/>
        </w:rPr>
        <w:t>内部</w:t>
      </w:r>
      <w:r>
        <w:rPr>
          <w:rFonts w:asciiTheme="majorEastAsia" w:eastAsiaTheme="majorEastAsia" w:hAnsiTheme="majorEastAsia" w:cstheme="majorEastAsia" w:hint="eastAsia"/>
          <w:snapToGrid w:val="0"/>
          <w:color w:val="000000"/>
          <w:sz w:val="30"/>
          <w:szCs w:val="30"/>
          <w:lang w:bidi="en-US"/>
        </w:rPr>
        <w:t>监督</w:t>
      </w:r>
      <w:bookmarkEnd w:id="5"/>
    </w:p>
    <w:p w14:paraId="6CC4241D" w14:textId="408173F8"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第四十七条 </w:t>
      </w:r>
      <w:r>
        <w:rPr>
          <w:rFonts w:ascii="宋体" w:hAnsi="宋体" w:hint="eastAsia"/>
          <w:bCs/>
          <w:kern w:val="0"/>
          <w:sz w:val="24"/>
          <w:lang w:bidi="en-US"/>
        </w:rPr>
        <w:t>内</w:t>
      </w:r>
      <w:r w:rsidR="009426E4">
        <w:rPr>
          <w:rFonts w:ascii="宋体" w:hAnsi="宋体" w:hint="eastAsia"/>
          <w:bCs/>
          <w:kern w:val="0"/>
          <w:sz w:val="24"/>
          <w:lang w:bidi="en-US"/>
        </w:rPr>
        <w:t>部</w:t>
      </w:r>
      <w:r>
        <w:rPr>
          <w:rFonts w:ascii="宋体" w:hAnsi="宋体" w:hint="eastAsia"/>
          <w:bCs/>
          <w:kern w:val="0"/>
          <w:sz w:val="24"/>
          <w:lang w:bidi="en-US"/>
        </w:rPr>
        <w:t>监督是对内部控制体系设计及运行情况进行监督检查、评估其有效性，发现内部控制缺陷并及时加以改进的一个过程。主要包括监督机制、监督活动、自我评估、持续改进和与外部监督机构的协调与沟通五部分内容。</w:t>
      </w:r>
    </w:p>
    <w:p w14:paraId="0E9C7B5F"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第四十八条 </w:t>
      </w:r>
      <w:r>
        <w:rPr>
          <w:rFonts w:ascii="宋体" w:hAnsi="宋体" w:hint="eastAsia"/>
          <w:bCs/>
          <w:kern w:val="0"/>
          <w:sz w:val="24"/>
          <w:lang w:bidi="en-US"/>
        </w:rPr>
        <w:t>按照公司治理结构的要求，公司董事会审计委员会对董事、总经理、副总经理和其他高级管理人员进行监督。董事会对公司的业务和管理活动进行指导和监督。</w:t>
      </w:r>
    </w:p>
    <w:p w14:paraId="51CA8DEB" w14:textId="77777777" w:rsidR="00AC301B" w:rsidRDefault="00970C35">
      <w:pPr>
        <w:spacing w:line="360" w:lineRule="auto"/>
        <w:ind w:firstLineChars="200" w:firstLine="482"/>
        <w:rPr>
          <w:rFonts w:ascii="宋体" w:hAnsi="宋体"/>
          <w:b/>
          <w:kern w:val="0"/>
          <w:sz w:val="24"/>
          <w:lang w:bidi="en-US"/>
        </w:rPr>
      </w:pPr>
      <w:r>
        <w:rPr>
          <w:rFonts w:ascii="宋体" w:hAnsi="宋体" w:hint="eastAsia"/>
          <w:b/>
          <w:kern w:val="0"/>
          <w:sz w:val="24"/>
          <w:lang w:bidi="en-US"/>
        </w:rPr>
        <w:t xml:space="preserve">第四十九条 </w:t>
      </w:r>
      <w:r>
        <w:rPr>
          <w:rFonts w:ascii="宋体" w:hAnsi="宋体" w:hint="eastAsia"/>
          <w:bCs/>
          <w:kern w:val="0"/>
          <w:sz w:val="24"/>
          <w:lang w:bidi="en-US"/>
        </w:rPr>
        <w:t>董事会审计委员会向董事会负责并直接接受董事会领导。董事会审计委员会召集人由独立董事担任，经董事会决议通过，董事会及审计委员会闭会期间，日常工作受董事长的领导。</w:t>
      </w:r>
    </w:p>
    <w:p w14:paraId="79649082"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第五十条 </w:t>
      </w:r>
      <w:r>
        <w:rPr>
          <w:rFonts w:ascii="宋体" w:hAnsi="宋体" w:hint="eastAsia"/>
          <w:bCs/>
          <w:kern w:val="0"/>
          <w:sz w:val="24"/>
          <w:lang w:bidi="en-US"/>
        </w:rPr>
        <w:t>公司设立独立的内部审计部门，接受公司董事会审计委员会的指导和监督，内部审计部门负责控制监督检查内部控制制度的执行情况、评价内部控制的科学性和有效性，提出完善内部控制和纠正错弊建议等工作。</w:t>
      </w:r>
    </w:p>
    <w:p w14:paraId="5DE84B28" w14:textId="77777777" w:rsidR="00D31FF6"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第五十一条 </w:t>
      </w:r>
      <w:r>
        <w:rPr>
          <w:rFonts w:ascii="宋体" w:hAnsi="宋体" w:hint="eastAsia"/>
          <w:bCs/>
          <w:kern w:val="0"/>
          <w:sz w:val="24"/>
          <w:lang w:bidi="en-US"/>
        </w:rPr>
        <w:t>内部审计部门向董事会及其审计委员会负责并报告工作。内部</w:t>
      </w:r>
      <w:r>
        <w:rPr>
          <w:rFonts w:ascii="宋体" w:hAnsi="宋体" w:hint="eastAsia"/>
          <w:bCs/>
          <w:kern w:val="0"/>
          <w:sz w:val="24"/>
          <w:lang w:bidi="en-US"/>
        </w:rPr>
        <w:lastRenderedPageBreak/>
        <w:t>审计部门配置专职的内部审计人员，并应具备客观、公正、廉洁和忠诚、勤勉、敬业的职业道德和工作责任心；掌握审计、会计或其他专业的理论和实务，熟悉企业经营管理和相关法律、法规等知识；</w:t>
      </w:r>
      <w:r w:rsidR="00D31FF6" w:rsidRPr="00D31FF6">
        <w:rPr>
          <w:rFonts w:ascii="宋体" w:hAnsi="宋体" w:hint="eastAsia"/>
          <w:bCs/>
          <w:kern w:val="0"/>
          <w:sz w:val="24"/>
          <w:lang w:bidi="en-US"/>
        </w:rPr>
        <w:t>具备调查研究、审查取证、分析判断、文字表达能力。内部审计部门行使审计管理监督职权，在公司章程赋予的职责和权限范围内保持自身的独立性。</w:t>
      </w:r>
    </w:p>
    <w:p w14:paraId="6E4BAD08" w14:textId="339835A4" w:rsidR="00AC301B" w:rsidRDefault="00970C35" w:rsidP="00D31FF6">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第五十二条 </w:t>
      </w:r>
      <w:r>
        <w:rPr>
          <w:rFonts w:ascii="宋体" w:hAnsi="宋体" w:hint="eastAsia"/>
          <w:bCs/>
          <w:kern w:val="0"/>
          <w:sz w:val="24"/>
          <w:lang w:bidi="en-US"/>
        </w:rPr>
        <w:t>内部审计部门根据公司经营控制目标及董事会要求，确定本年度审计工作重点，制定年度审计工作计划，经董事会审计委员会批准后实施。</w:t>
      </w:r>
    </w:p>
    <w:p w14:paraId="27CBD45F"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第五十三条 </w:t>
      </w:r>
      <w:r>
        <w:rPr>
          <w:rFonts w:ascii="宋体" w:hAnsi="宋体" w:hint="eastAsia"/>
          <w:bCs/>
          <w:kern w:val="0"/>
          <w:sz w:val="24"/>
          <w:lang w:bidi="en-US"/>
        </w:rPr>
        <w:t>内部审计部门应当对公司内部控制运行情况进行检查监督，并将检查中发现的内部控制缺陷和异常事项、改进建议等形成内部审计报告，提交公司董事会审计委员会，审计委员会依据内部审计报告编制内部控制自我评价报告草案报董事会审议。公司内部审计部门如发现公司出现重大异常情况，可能或已经遭受重大损失时，应立即报告。公司管理层、董事会应采取有效措施予以解决，必要时可以报证券交易所并公告。</w:t>
      </w:r>
    </w:p>
    <w:p w14:paraId="70A29AFE" w14:textId="4D233FD4" w:rsidR="00AC301B" w:rsidRDefault="00970C35">
      <w:pPr>
        <w:spacing w:line="360" w:lineRule="auto"/>
        <w:ind w:firstLineChars="200" w:firstLine="482"/>
        <w:rPr>
          <w:rFonts w:ascii="宋体" w:hAnsi="宋体"/>
          <w:b/>
          <w:kern w:val="0"/>
          <w:sz w:val="24"/>
          <w:lang w:bidi="en-US"/>
        </w:rPr>
      </w:pPr>
      <w:r>
        <w:rPr>
          <w:rFonts w:ascii="宋体" w:hAnsi="宋体" w:hint="eastAsia"/>
          <w:b/>
          <w:kern w:val="0"/>
          <w:sz w:val="24"/>
          <w:lang w:bidi="en-US"/>
        </w:rPr>
        <w:t xml:space="preserve">第五十四条 </w:t>
      </w:r>
      <w:r>
        <w:rPr>
          <w:rFonts w:ascii="宋体" w:hAnsi="宋体" w:hint="eastAsia"/>
          <w:bCs/>
          <w:kern w:val="0"/>
          <w:sz w:val="24"/>
          <w:lang w:bidi="en-US"/>
        </w:rPr>
        <w:t>公司董事会在年度报告披露的同时，披露公司</w:t>
      </w:r>
      <w:r w:rsidR="00BE21F9" w:rsidRPr="00BE21F9">
        <w:rPr>
          <w:rFonts w:ascii="宋体" w:hAnsi="宋体" w:hint="eastAsia"/>
          <w:bCs/>
          <w:kern w:val="0"/>
          <w:sz w:val="24"/>
          <w:lang w:bidi="en-US"/>
        </w:rPr>
        <w:t>内部控制评价报告</w:t>
      </w:r>
      <w:r>
        <w:rPr>
          <w:rFonts w:ascii="宋体" w:hAnsi="宋体" w:hint="eastAsia"/>
          <w:bCs/>
          <w:kern w:val="0"/>
          <w:sz w:val="24"/>
          <w:lang w:bidi="en-US"/>
        </w:rPr>
        <w:t xml:space="preserve">。内部控制评价报告应包括如下内容： </w:t>
      </w:r>
    </w:p>
    <w:p w14:paraId="0E6C0232"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（一）董事会对内部控制评价报告真实性的声明；</w:t>
      </w:r>
    </w:p>
    <w:p w14:paraId="609CFBF9"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（二）内部控制评价工作的总体情况；</w:t>
      </w:r>
    </w:p>
    <w:p w14:paraId="017B6810"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（三）内部控制评价的依据、范围、程序和方法；</w:t>
      </w:r>
    </w:p>
    <w:p w14:paraId="7653D0CD"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（四）内部控制存在的缺陷及其认定情况；</w:t>
      </w:r>
    </w:p>
    <w:p w14:paraId="087E4203"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（五）对上一年度内部控制缺陷的整改情况；</w:t>
      </w:r>
    </w:p>
    <w:p w14:paraId="6EB71D91"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（六）对本年度内部控制缺陷拟采取的整改措施；</w:t>
      </w:r>
    </w:p>
    <w:p w14:paraId="01F63186"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（七）内部控制有效性的结论。</w:t>
      </w:r>
    </w:p>
    <w:p w14:paraId="7708BE22"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第五十五条 </w:t>
      </w:r>
      <w:r>
        <w:rPr>
          <w:rFonts w:ascii="宋体" w:hAnsi="宋体" w:hint="eastAsia"/>
          <w:bCs/>
          <w:kern w:val="0"/>
          <w:sz w:val="24"/>
          <w:lang w:bidi="en-US"/>
        </w:rPr>
        <w:t xml:space="preserve">公司制定内部审计制度，明确内部审计工作范围、权限、内部审计程序和方法、审计人员的管理，强化审计工作质量和效率，确保审计工作科学化、规范化。 </w:t>
      </w:r>
    </w:p>
    <w:p w14:paraId="3A858913"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第五十六条 </w:t>
      </w:r>
      <w:r>
        <w:rPr>
          <w:rFonts w:ascii="宋体" w:hAnsi="宋体" w:hint="eastAsia"/>
          <w:bCs/>
          <w:kern w:val="0"/>
          <w:sz w:val="24"/>
          <w:lang w:bidi="en-US"/>
        </w:rPr>
        <w:t>公司应根据自身经营风险和实际需要，定期对公司内部控制制度进行自查，必要时可进行专项检查。各职能部门应加强业务的指导、监督和检查，各部门及分子公司应当积极配合审计机构及内部审计部门的检查监督。</w:t>
      </w:r>
    </w:p>
    <w:p w14:paraId="6F7C04BF" w14:textId="77777777" w:rsidR="00AC301B" w:rsidRDefault="00970C35">
      <w:pPr>
        <w:spacing w:line="360" w:lineRule="auto"/>
        <w:ind w:firstLineChars="200" w:firstLine="482"/>
        <w:rPr>
          <w:rFonts w:ascii="宋体" w:hAnsi="宋体"/>
          <w:b/>
          <w:kern w:val="0"/>
          <w:sz w:val="24"/>
          <w:lang w:bidi="en-US"/>
        </w:rPr>
      </w:pPr>
      <w:r>
        <w:rPr>
          <w:rFonts w:ascii="宋体" w:hAnsi="宋体" w:hint="eastAsia"/>
          <w:b/>
          <w:kern w:val="0"/>
          <w:sz w:val="24"/>
          <w:lang w:bidi="en-US"/>
        </w:rPr>
        <w:t xml:space="preserve">第五十七条 </w:t>
      </w:r>
      <w:r>
        <w:rPr>
          <w:rFonts w:ascii="宋体" w:hAnsi="宋体" w:hint="eastAsia"/>
          <w:bCs/>
          <w:kern w:val="0"/>
          <w:sz w:val="24"/>
          <w:lang w:bidi="en-US"/>
        </w:rPr>
        <w:t>会计师事务所在对公司进行年度审计时，应当就公司内部控制</w:t>
      </w:r>
      <w:r>
        <w:rPr>
          <w:rFonts w:ascii="宋体" w:hAnsi="宋体" w:hint="eastAsia"/>
          <w:bCs/>
          <w:kern w:val="0"/>
          <w:sz w:val="24"/>
          <w:lang w:bidi="en-US"/>
        </w:rPr>
        <w:lastRenderedPageBreak/>
        <w:t>自我评价报告出具内部控制审计报告。为企业提供内部控制咨询的会计师事务所，不得同时为公司提供内部控制的审计服务。</w:t>
      </w:r>
      <w:r>
        <w:rPr>
          <w:rFonts w:ascii="宋体" w:hAnsi="宋体" w:hint="eastAsia"/>
          <w:b/>
          <w:kern w:val="0"/>
          <w:sz w:val="24"/>
          <w:lang w:bidi="en-US"/>
        </w:rPr>
        <w:t xml:space="preserve"> </w:t>
      </w:r>
    </w:p>
    <w:p w14:paraId="0A2AFC99"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 xml:space="preserve">第五十八条 </w:t>
      </w:r>
      <w:r>
        <w:rPr>
          <w:rFonts w:ascii="宋体" w:hAnsi="宋体" w:hint="eastAsia"/>
          <w:bCs/>
          <w:kern w:val="0"/>
          <w:sz w:val="24"/>
          <w:lang w:bidi="en-US"/>
        </w:rPr>
        <w:t>会计师事务所对公司内部控制有效性表示异议的，公司董事会应当针对该异议意见涉及事项做出专项说明，说明至少应包括以下内容：</w:t>
      </w:r>
    </w:p>
    <w:p w14:paraId="78E09773"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（一）异议事项的基本情况；</w:t>
      </w:r>
    </w:p>
    <w:p w14:paraId="7A8B67E8"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（二）该事项对公司内部控制有效性的影响；</w:t>
      </w:r>
    </w:p>
    <w:p w14:paraId="4DE5DCEC"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（三）公司董事会对该事项的意见；</w:t>
      </w:r>
    </w:p>
    <w:p w14:paraId="1A120429" w14:textId="77777777" w:rsidR="00AC301B" w:rsidRDefault="00970C35">
      <w:pPr>
        <w:spacing w:line="360" w:lineRule="auto"/>
        <w:ind w:firstLineChars="200" w:firstLine="480"/>
        <w:rPr>
          <w:rFonts w:ascii="宋体" w:hAnsi="宋体"/>
          <w:bCs/>
          <w:kern w:val="0"/>
          <w:sz w:val="24"/>
          <w:lang w:bidi="en-US"/>
        </w:rPr>
      </w:pPr>
      <w:r>
        <w:rPr>
          <w:rFonts w:ascii="宋体" w:hAnsi="宋体" w:hint="eastAsia"/>
          <w:bCs/>
          <w:kern w:val="0"/>
          <w:sz w:val="24"/>
          <w:lang w:bidi="en-US"/>
        </w:rPr>
        <w:t>（四）消除该事项及其影响的可能性；</w:t>
      </w:r>
    </w:p>
    <w:p w14:paraId="1AA00FF9" w14:textId="77777777" w:rsidR="00AC301B" w:rsidRDefault="00970C35">
      <w:pPr>
        <w:spacing w:line="360" w:lineRule="auto"/>
        <w:ind w:firstLineChars="200" w:firstLine="480"/>
        <w:rPr>
          <w:rFonts w:ascii="宋体" w:hAnsi="宋体"/>
          <w:b/>
          <w:kern w:val="0"/>
          <w:sz w:val="24"/>
          <w:lang w:bidi="en-US"/>
        </w:rPr>
      </w:pPr>
      <w:r>
        <w:rPr>
          <w:rFonts w:ascii="宋体" w:hAnsi="宋体" w:hint="eastAsia"/>
          <w:bCs/>
          <w:kern w:val="0"/>
          <w:sz w:val="24"/>
          <w:lang w:bidi="en-US"/>
        </w:rPr>
        <w:t>（五）消除该事项及其影响的具体措施。</w:t>
      </w:r>
      <w:bookmarkStart w:id="6" w:name="_Toc338841715"/>
    </w:p>
    <w:p w14:paraId="02C116DC" w14:textId="77777777" w:rsidR="00AC301B" w:rsidRDefault="00970C35">
      <w:pPr>
        <w:pStyle w:val="1"/>
        <w:kinsoku w:val="0"/>
        <w:autoSpaceDE w:val="0"/>
        <w:autoSpaceDN w:val="0"/>
        <w:adjustRightInd w:val="0"/>
        <w:snapToGrid w:val="0"/>
        <w:spacing w:before="157" w:after="157" w:line="360" w:lineRule="auto"/>
        <w:jc w:val="center"/>
        <w:textAlignment w:val="baseline"/>
        <w:rPr>
          <w:rFonts w:asciiTheme="majorEastAsia" w:eastAsiaTheme="majorEastAsia" w:hAnsiTheme="majorEastAsia" w:cstheme="majorEastAsia"/>
          <w:snapToGrid w:val="0"/>
          <w:color w:val="000000"/>
          <w:sz w:val="30"/>
          <w:szCs w:val="30"/>
          <w:lang w:bidi="en-US"/>
        </w:rPr>
      </w:pPr>
      <w:r>
        <w:rPr>
          <w:rFonts w:asciiTheme="majorEastAsia" w:eastAsiaTheme="majorEastAsia" w:hAnsiTheme="majorEastAsia" w:cstheme="majorEastAsia" w:hint="eastAsia"/>
          <w:snapToGrid w:val="0"/>
          <w:color w:val="000000"/>
          <w:sz w:val="30"/>
          <w:szCs w:val="30"/>
          <w:lang w:bidi="en-US"/>
        </w:rPr>
        <w:t>第七章 附则</w:t>
      </w:r>
      <w:bookmarkEnd w:id="6"/>
    </w:p>
    <w:p w14:paraId="45355C2A" w14:textId="77777777" w:rsidR="00AC301B" w:rsidRDefault="00970C35">
      <w:pPr>
        <w:spacing w:line="360" w:lineRule="auto"/>
        <w:ind w:firstLineChars="200" w:firstLine="482"/>
        <w:rPr>
          <w:rFonts w:ascii="宋体" w:hAnsi="宋体"/>
          <w:b/>
          <w:kern w:val="0"/>
          <w:sz w:val="24"/>
          <w:lang w:bidi="en-US"/>
        </w:rPr>
      </w:pPr>
      <w:r>
        <w:rPr>
          <w:rFonts w:ascii="宋体" w:hAnsi="宋体" w:hint="eastAsia"/>
          <w:b/>
          <w:kern w:val="0"/>
          <w:sz w:val="24"/>
          <w:lang w:bidi="en-US"/>
        </w:rPr>
        <w:t xml:space="preserve">第五十九条 </w:t>
      </w:r>
      <w:r>
        <w:rPr>
          <w:rFonts w:ascii="宋体" w:hAnsi="宋体" w:hint="eastAsia"/>
          <w:bCs/>
          <w:kern w:val="0"/>
          <w:sz w:val="24"/>
          <w:lang w:bidi="en-US"/>
        </w:rPr>
        <w:t>本制度未尽事宜，依照国家有关法律、法规、规范性文件及《公司章程》的有关规定执行。本制度如与有关法律、法规、规范性文件或《公司章程》的有关规定不一致的，以有关法律、法</w:t>
      </w:r>
      <w:bookmarkStart w:id="7" w:name="_GoBack"/>
      <w:bookmarkEnd w:id="7"/>
      <w:r>
        <w:rPr>
          <w:rFonts w:ascii="宋体" w:hAnsi="宋体" w:hint="eastAsia"/>
          <w:bCs/>
          <w:kern w:val="0"/>
          <w:sz w:val="24"/>
          <w:lang w:bidi="en-US"/>
        </w:rPr>
        <w:t>规、规范性文件或《公司章程》的规定为准。</w:t>
      </w:r>
    </w:p>
    <w:p w14:paraId="685458E3" w14:textId="77777777" w:rsidR="00AC301B" w:rsidRDefault="00970C35">
      <w:pPr>
        <w:spacing w:line="360" w:lineRule="auto"/>
        <w:ind w:firstLineChars="200" w:firstLine="482"/>
        <w:rPr>
          <w:rFonts w:ascii="宋体" w:hAnsi="宋体"/>
          <w:b/>
          <w:kern w:val="0"/>
          <w:sz w:val="24"/>
          <w:lang w:bidi="en-US"/>
        </w:rPr>
      </w:pPr>
      <w:r>
        <w:rPr>
          <w:rFonts w:ascii="宋体" w:hAnsi="宋体" w:hint="eastAsia"/>
          <w:b/>
          <w:kern w:val="0"/>
          <w:sz w:val="24"/>
          <w:lang w:bidi="en-US"/>
        </w:rPr>
        <w:t>第六十条</w:t>
      </w:r>
      <w:r>
        <w:rPr>
          <w:rFonts w:ascii="宋体" w:hAnsi="宋体" w:hint="eastAsia"/>
          <w:bCs/>
          <w:kern w:val="0"/>
          <w:sz w:val="24"/>
          <w:lang w:bidi="en-US"/>
        </w:rPr>
        <w:t xml:space="preserve"> 本制度由公司董事会负责解释和修订</w:t>
      </w:r>
      <w:r>
        <w:rPr>
          <w:rFonts w:ascii="宋体" w:hAnsi="宋体" w:hint="eastAsia"/>
          <w:kern w:val="0"/>
          <w:sz w:val="24"/>
          <w:lang w:bidi="en-US"/>
        </w:rPr>
        <w:t>。</w:t>
      </w:r>
    </w:p>
    <w:p w14:paraId="3FAF3C5E" w14:textId="77777777" w:rsidR="00AC301B" w:rsidRDefault="00970C35">
      <w:pPr>
        <w:spacing w:line="360" w:lineRule="auto"/>
        <w:ind w:firstLineChars="200" w:firstLine="482"/>
        <w:rPr>
          <w:rFonts w:ascii="宋体" w:hAnsi="宋体"/>
          <w:bCs/>
          <w:kern w:val="0"/>
          <w:sz w:val="24"/>
          <w:lang w:bidi="en-US"/>
        </w:rPr>
      </w:pPr>
      <w:r>
        <w:rPr>
          <w:rFonts w:ascii="宋体" w:hAnsi="宋体" w:hint="eastAsia"/>
          <w:b/>
          <w:kern w:val="0"/>
          <w:sz w:val="24"/>
          <w:lang w:bidi="en-US"/>
        </w:rPr>
        <w:t>第六十一条</w:t>
      </w:r>
      <w:r>
        <w:rPr>
          <w:rFonts w:ascii="宋体" w:hAnsi="宋体" w:hint="eastAsia"/>
          <w:bCs/>
          <w:kern w:val="0"/>
          <w:sz w:val="24"/>
          <w:lang w:bidi="en-US"/>
        </w:rPr>
        <w:t xml:space="preserve"> 本制度自公司董事会审议通过之日起实施。</w:t>
      </w:r>
    </w:p>
    <w:p w14:paraId="0638ED48" w14:textId="77777777" w:rsidR="00AC301B" w:rsidRDefault="00AC301B">
      <w:pPr>
        <w:spacing w:line="360" w:lineRule="auto"/>
        <w:ind w:firstLineChars="200" w:firstLine="482"/>
        <w:rPr>
          <w:rFonts w:ascii="宋体" w:hAnsi="宋体"/>
          <w:b/>
          <w:kern w:val="0"/>
          <w:sz w:val="24"/>
          <w:lang w:bidi="en-US"/>
        </w:rPr>
      </w:pPr>
    </w:p>
    <w:p w14:paraId="78FF7CEC" w14:textId="77777777" w:rsidR="002D5A58" w:rsidRPr="006B5C9A" w:rsidRDefault="002D5A58" w:rsidP="00910930">
      <w:pPr>
        <w:spacing w:line="360" w:lineRule="auto"/>
        <w:ind w:firstLine="480"/>
        <w:jc w:val="right"/>
        <w:rPr>
          <w:rFonts w:ascii="宋体" w:hAnsi="宋体"/>
          <w:bCs/>
          <w:kern w:val="0"/>
          <w:sz w:val="24"/>
          <w:lang w:bidi="en-US"/>
        </w:rPr>
      </w:pPr>
      <w:r w:rsidRPr="006B5C9A">
        <w:rPr>
          <w:rFonts w:ascii="宋体" w:hAnsi="宋体"/>
          <w:bCs/>
          <w:kern w:val="0"/>
          <w:sz w:val="24"/>
          <w:lang w:bidi="en-US"/>
        </w:rPr>
        <w:t>山西安泰集团股份有限公司</w:t>
      </w:r>
    </w:p>
    <w:p w14:paraId="7C6858B3" w14:textId="77777777" w:rsidR="002D5A58" w:rsidRPr="006B5C9A" w:rsidRDefault="002D5A58" w:rsidP="00910930">
      <w:pPr>
        <w:spacing w:line="360" w:lineRule="auto"/>
        <w:ind w:right="510" w:firstLineChars="500" w:firstLine="1200"/>
        <w:jc w:val="right"/>
        <w:rPr>
          <w:rFonts w:ascii="宋体" w:hAnsi="宋体"/>
          <w:bCs/>
          <w:kern w:val="0"/>
          <w:sz w:val="24"/>
          <w:lang w:bidi="en-US"/>
        </w:rPr>
      </w:pPr>
      <w:r w:rsidRPr="006B5C9A">
        <w:rPr>
          <w:rFonts w:ascii="宋体" w:hAnsi="宋体"/>
          <w:bCs/>
          <w:kern w:val="0"/>
          <w:sz w:val="24"/>
          <w:lang w:bidi="en-US"/>
        </w:rPr>
        <w:t>董   事   会</w:t>
      </w:r>
    </w:p>
    <w:p w14:paraId="731A03B8" w14:textId="4603B31A" w:rsidR="00AC301B" w:rsidRPr="006B5C9A" w:rsidRDefault="002D5A58" w:rsidP="00910930">
      <w:pPr>
        <w:spacing w:line="360" w:lineRule="auto"/>
        <w:ind w:firstLine="480"/>
        <w:jc w:val="right"/>
        <w:rPr>
          <w:rFonts w:ascii="宋体" w:hAnsi="宋体"/>
          <w:bCs/>
          <w:kern w:val="0"/>
          <w:sz w:val="24"/>
          <w:lang w:bidi="en-US"/>
        </w:rPr>
      </w:pPr>
      <w:r w:rsidRPr="006B5C9A">
        <w:rPr>
          <w:rFonts w:ascii="宋体" w:hAnsi="宋体"/>
          <w:bCs/>
          <w:kern w:val="0"/>
          <w:sz w:val="24"/>
          <w:lang w:bidi="en-US"/>
        </w:rPr>
        <w:t>二〇二五年十一月</w:t>
      </w:r>
      <w:r w:rsidR="00366790" w:rsidRPr="00366790">
        <w:rPr>
          <w:rFonts w:ascii="宋体" w:hAnsi="宋体" w:hint="eastAsia"/>
          <w:bCs/>
          <w:kern w:val="0"/>
          <w:sz w:val="24"/>
          <w:lang w:bidi="en-US"/>
        </w:rPr>
        <w:t>二十八</w:t>
      </w:r>
      <w:r w:rsidRPr="006B5C9A">
        <w:rPr>
          <w:rFonts w:ascii="宋体" w:hAnsi="宋体"/>
          <w:bCs/>
          <w:kern w:val="0"/>
          <w:sz w:val="24"/>
          <w:lang w:bidi="en-US"/>
        </w:rPr>
        <w:t>日</w:t>
      </w:r>
    </w:p>
    <w:sectPr w:rsidR="00AC301B" w:rsidRPr="006B5C9A">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9639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A8AD0" w14:textId="77777777" w:rsidR="00660116" w:rsidRDefault="00660116" w:rsidP="002D5A58">
      <w:r>
        <w:separator/>
      </w:r>
    </w:p>
  </w:endnote>
  <w:endnote w:type="continuationSeparator" w:id="0">
    <w:p w14:paraId="6314C73F" w14:textId="77777777" w:rsidR="00660116" w:rsidRDefault="00660116" w:rsidP="002D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754483"/>
      <w:docPartObj>
        <w:docPartGallery w:val="Page Numbers (Bottom of Page)"/>
        <w:docPartUnique/>
      </w:docPartObj>
    </w:sdtPr>
    <w:sdtEndPr/>
    <w:sdtContent>
      <w:p w14:paraId="6E8171EB" w14:textId="462A7539" w:rsidR="00E650CD" w:rsidRDefault="00E650CD">
        <w:pPr>
          <w:pStyle w:val="a7"/>
          <w:jc w:val="center"/>
        </w:pPr>
        <w:r>
          <w:fldChar w:fldCharType="begin"/>
        </w:r>
        <w:r>
          <w:instrText>PAGE   \* MERGEFORMAT</w:instrText>
        </w:r>
        <w:r>
          <w:fldChar w:fldCharType="separate"/>
        </w:r>
        <w:r w:rsidR="00910930" w:rsidRPr="00910930">
          <w:rPr>
            <w:noProof/>
            <w:lang w:val="zh-CN"/>
          </w:rPr>
          <w:t>9</w:t>
        </w:r>
        <w:r>
          <w:fldChar w:fldCharType="end"/>
        </w:r>
      </w:p>
    </w:sdtContent>
  </w:sdt>
  <w:p w14:paraId="70590893" w14:textId="77777777" w:rsidR="00E650CD" w:rsidRDefault="00E650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C78CB" w14:textId="77777777" w:rsidR="00660116" w:rsidRDefault="00660116" w:rsidP="002D5A58">
      <w:r>
        <w:separator/>
      </w:r>
    </w:p>
  </w:footnote>
  <w:footnote w:type="continuationSeparator" w:id="0">
    <w:p w14:paraId="380AE209" w14:textId="77777777" w:rsidR="00660116" w:rsidRDefault="00660116" w:rsidP="002D5A5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rson w15:author="茶卡盐佑星">
    <w15:presenceInfo w15:providerId="WPS Office" w15:userId="248865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1B"/>
    <w:rsid w:val="0001602C"/>
    <w:rsid w:val="000C1966"/>
    <w:rsid w:val="000F41D7"/>
    <w:rsid w:val="001654FE"/>
    <w:rsid w:val="001B11A1"/>
    <w:rsid w:val="002D5A58"/>
    <w:rsid w:val="00366790"/>
    <w:rsid w:val="003B5EDC"/>
    <w:rsid w:val="0042526B"/>
    <w:rsid w:val="00527DCA"/>
    <w:rsid w:val="005C0153"/>
    <w:rsid w:val="00632CE8"/>
    <w:rsid w:val="00660116"/>
    <w:rsid w:val="006B5C9A"/>
    <w:rsid w:val="008626AD"/>
    <w:rsid w:val="00910930"/>
    <w:rsid w:val="009426E4"/>
    <w:rsid w:val="00970C35"/>
    <w:rsid w:val="00AC301B"/>
    <w:rsid w:val="00BE21F9"/>
    <w:rsid w:val="00D31FF6"/>
    <w:rsid w:val="00E650CD"/>
    <w:rsid w:val="00EB450B"/>
    <w:rsid w:val="00FA05AF"/>
    <w:rsid w:val="010708F3"/>
    <w:rsid w:val="069F1A61"/>
    <w:rsid w:val="0F803E6A"/>
    <w:rsid w:val="1D526E45"/>
    <w:rsid w:val="23005CBE"/>
    <w:rsid w:val="2E356CC6"/>
    <w:rsid w:val="46AE0B2D"/>
    <w:rsid w:val="47AD2D46"/>
    <w:rsid w:val="4C0373D9"/>
    <w:rsid w:val="526861E8"/>
    <w:rsid w:val="54BE348C"/>
    <w:rsid w:val="5D6B2A9D"/>
    <w:rsid w:val="64412580"/>
    <w:rsid w:val="68A25C7C"/>
    <w:rsid w:val="6CE95D1F"/>
    <w:rsid w:val="74171A83"/>
    <w:rsid w:val="7F11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character" w:styleId="a4">
    <w:name w:val="Strong"/>
    <w:basedOn w:val="a0"/>
    <w:qFormat/>
    <w:rPr>
      <w:b/>
    </w:rPr>
  </w:style>
  <w:style w:type="character" w:styleId="a5">
    <w:name w:val="annotation reference"/>
    <w:basedOn w:val="a0"/>
    <w:unhideWhenUsed/>
    <w:qFormat/>
    <w:rPr>
      <w:sz w:val="21"/>
      <w:szCs w:val="21"/>
    </w:rPr>
  </w:style>
  <w:style w:type="paragraph" w:styleId="a6">
    <w:name w:val="header"/>
    <w:basedOn w:val="a"/>
    <w:link w:val="Char0"/>
    <w:rsid w:val="002D5A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D5A58"/>
    <w:rPr>
      <w:rFonts w:ascii="Calibri" w:hAnsi="Calibri"/>
      <w:kern w:val="2"/>
      <w:sz w:val="18"/>
      <w:szCs w:val="18"/>
    </w:rPr>
  </w:style>
  <w:style w:type="paragraph" w:styleId="a7">
    <w:name w:val="footer"/>
    <w:basedOn w:val="a"/>
    <w:link w:val="Char1"/>
    <w:uiPriority w:val="99"/>
    <w:rsid w:val="002D5A58"/>
    <w:pPr>
      <w:tabs>
        <w:tab w:val="center" w:pos="4153"/>
        <w:tab w:val="right" w:pos="8306"/>
      </w:tabs>
      <w:snapToGrid w:val="0"/>
      <w:jc w:val="left"/>
    </w:pPr>
    <w:rPr>
      <w:sz w:val="18"/>
      <w:szCs w:val="18"/>
    </w:rPr>
  </w:style>
  <w:style w:type="character" w:customStyle="1" w:styleId="Char1">
    <w:name w:val="页脚 Char"/>
    <w:basedOn w:val="a0"/>
    <w:link w:val="a7"/>
    <w:uiPriority w:val="99"/>
    <w:rsid w:val="002D5A58"/>
    <w:rPr>
      <w:rFonts w:ascii="Calibri" w:hAnsi="Calibri"/>
      <w:kern w:val="2"/>
      <w:sz w:val="18"/>
      <w:szCs w:val="18"/>
    </w:rPr>
  </w:style>
  <w:style w:type="paragraph" w:styleId="a8">
    <w:name w:val="Balloon Text"/>
    <w:basedOn w:val="a"/>
    <w:link w:val="Char2"/>
    <w:rsid w:val="002D5A58"/>
    <w:rPr>
      <w:sz w:val="18"/>
      <w:szCs w:val="18"/>
    </w:rPr>
  </w:style>
  <w:style w:type="character" w:customStyle="1" w:styleId="Char2">
    <w:name w:val="批注框文本 Char"/>
    <w:basedOn w:val="a0"/>
    <w:link w:val="a8"/>
    <w:rsid w:val="002D5A58"/>
    <w:rPr>
      <w:rFonts w:ascii="Calibri" w:hAnsi="Calibri"/>
      <w:kern w:val="2"/>
      <w:sz w:val="18"/>
      <w:szCs w:val="18"/>
    </w:rPr>
  </w:style>
  <w:style w:type="paragraph" w:styleId="a9">
    <w:name w:val="annotation subject"/>
    <w:basedOn w:val="a3"/>
    <w:next w:val="a3"/>
    <w:link w:val="Char3"/>
    <w:rsid w:val="006B5C9A"/>
    <w:rPr>
      <w:b/>
      <w:bCs/>
    </w:rPr>
  </w:style>
  <w:style w:type="character" w:customStyle="1" w:styleId="Char">
    <w:name w:val="批注文字 Char"/>
    <w:basedOn w:val="a0"/>
    <w:link w:val="a3"/>
    <w:rsid w:val="006B5C9A"/>
    <w:rPr>
      <w:rFonts w:ascii="Calibri" w:hAnsi="Calibri"/>
      <w:kern w:val="2"/>
      <w:sz w:val="21"/>
      <w:szCs w:val="24"/>
    </w:rPr>
  </w:style>
  <w:style w:type="character" w:customStyle="1" w:styleId="Char3">
    <w:name w:val="批注主题 Char"/>
    <w:basedOn w:val="Char"/>
    <w:link w:val="a9"/>
    <w:rsid w:val="006B5C9A"/>
    <w:rPr>
      <w:rFonts w:ascii="Calibri" w:hAnsi="Calibr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character" w:styleId="a4">
    <w:name w:val="Strong"/>
    <w:basedOn w:val="a0"/>
    <w:qFormat/>
    <w:rPr>
      <w:b/>
    </w:rPr>
  </w:style>
  <w:style w:type="character" w:styleId="a5">
    <w:name w:val="annotation reference"/>
    <w:basedOn w:val="a0"/>
    <w:unhideWhenUsed/>
    <w:qFormat/>
    <w:rPr>
      <w:sz w:val="21"/>
      <w:szCs w:val="21"/>
    </w:rPr>
  </w:style>
  <w:style w:type="paragraph" w:styleId="a6">
    <w:name w:val="header"/>
    <w:basedOn w:val="a"/>
    <w:link w:val="Char0"/>
    <w:rsid w:val="002D5A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D5A58"/>
    <w:rPr>
      <w:rFonts w:ascii="Calibri" w:hAnsi="Calibri"/>
      <w:kern w:val="2"/>
      <w:sz w:val="18"/>
      <w:szCs w:val="18"/>
    </w:rPr>
  </w:style>
  <w:style w:type="paragraph" w:styleId="a7">
    <w:name w:val="footer"/>
    <w:basedOn w:val="a"/>
    <w:link w:val="Char1"/>
    <w:uiPriority w:val="99"/>
    <w:rsid w:val="002D5A58"/>
    <w:pPr>
      <w:tabs>
        <w:tab w:val="center" w:pos="4153"/>
        <w:tab w:val="right" w:pos="8306"/>
      </w:tabs>
      <w:snapToGrid w:val="0"/>
      <w:jc w:val="left"/>
    </w:pPr>
    <w:rPr>
      <w:sz w:val="18"/>
      <w:szCs w:val="18"/>
    </w:rPr>
  </w:style>
  <w:style w:type="character" w:customStyle="1" w:styleId="Char1">
    <w:name w:val="页脚 Char"/>
    <w:basedOn w:val="a0"/>
    <w:link w:val="a7"/>
    <w:uiPriority w:val="99"/>
    <w:rsid w:val="002D5A58"/>
    <w:rPr>
      <w:rFonts w:ascii="Calibri" w:hAnsi="Calibri"/>
      <w:kern w:val="2"/>
      <w:sz w:val="18"/>
      <w:szCs w:val="18"/>
    </w:rPr>
  </w:style>
  <w:style w:type="paragraph" w:styleId="a8">
    <w:name w:val="Balloon Text"/>
    <w:basedOn w:val="a"/>
    <w:link w:val="Char2"/>
    <w:rsid w:val="002D5A58"/>
    <w:rPr>
      <w:sz w:val="18"/>
      <w:szCs w:val="18"/>
    </w:rPr>
  </w:style>
  <w:style w:type="character" w:customStyle="1" w:styleId="Char2">
    <w:name w:val="批注框文本 Char"/>
    <w:basedOn w:val="a0"/>
    <w:link w:val="a8"/>
    <w:rsid w:val="002D5A58"/>
    <w:rPr>
      <w:rFonts w:ascii="Calibri" w:hAnsi="Calibri"/>
      <w:kern w:val="2"/>
      <w:sz w:val="18"/>
      <w:szCs w:val="18"/>
    </w:rPr>
  </w:style>
  <w:style w:type="paragraph" w:styleId="a9">
    <w:name w:val="annotation subject"/>
    <w:basedOn w:val="a3"/>
    <w:next w:val="a3"/>
    <w:link w:val="Char3"/>
    <w:rsid w:val="006B5C9A"/>
    <w:rPr>
      <w:b/>
      <w:bCs/>
    </w:rPr>
  </w:style>
  <w:style w:type="character" w:customStyle="1" w:styleId="Char">
    <w:name w:val="批注文字 Char"/>
    <w:basedOn w:val="a0"/>
    <w:link w:val="a3"/>
    <w:rsid w:val="006B5C9A"/>
    <w:rPr>
      <w:rFonts w:ascii="Calibri" w:hAnsi="Calibri"/>
      <w:kern w:val="2"/>
      <w:sz w:val="21"/>
      <w:szCs w:val="24"/>
    </w:rPr>
  </w:style>
  <w:style w:type="character" w:customStyle="1" w:styleId="Char3">
    <w:name w:val="批注主题 Char"/>
    <w:basedOn w:val="Char"/>
    <w:link w:val="a9"/>
    <w:rsid w:val="006B5C9A"/>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C242-970A-4ABE-9F24-7CE3C922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证券事务处</cp:lastModifiedBy>
  <cp:revision>14</cp:revision>
  <dcterms:created xsi:type="dcterms:W3CDTF">2025-09-25T07:43:00Z</dcterms:created>
  <dcterms:modified xsi:type="dcterms:W3CDTF">2025-11-28T08:11:00Z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eyJoZGlkIjoiMTk5MGQzZTY3ZTNmNzE4OWIzNjg2M2E3NzgyZGJmZWYiLCJ1c2VySWQiOiIyNDU1OTY5NTMifQ==</vt:lpwstr>
  </property>
  <property fmtid="{D5CDD505-2E9C-101B-9397-08002B2CF9AE}" pid="4" name="ICV">
    <vt:lpwstr>8FAAA932C26444C8986947AAC6FF1920_13</vt:lpwstr>
  </property>
</Properties>
</file>